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43F67" w14:textId="52622FAD" w:rsidR="00B123FF" w:rsidRPr="00455A3C" w:rsidRDefault="00C67B70" w:rsidP="00F60A53">
      <w:pPr>
        <w:pStyle w:val="F2-zkladn"/>
        <w:spacing w:line="276" w:lineRule="auto"/>
        <w:rPr>
          <w:b/>
          <w:sz w:val="28"/>
          <w:szCs w:val="28"/>
        </w:rPr>
      </w:pPr>
      <w:r>
        <w:rPr>
          <w:b/>
          <w:sz w:val="28"/>
          <w:szCs w:val="28"/>
        </w:rPr>
        <w:t>ANALÝZA</w:t>
      </w:r>
    </w:p>
    <w:p w14:paraId="5F9142CF" w14:textId="5ED6CD5E" w:rsidR="000A2833" w:rsidRPr="00455A3C" w:rsidRDefault="00A224C0" w:rsidP="00F60A53">
      <w:pPr>
        <w:pStyle w:val="F2-zkladn"/>
        <w:spacing w:line="276" w:lineRule="auto"/>
        <w:rPr>
          <w:b/>
          <w:sz w:val="28"/>
          <w:szCs w:val="28"/>
        </w:rPr>
      </w:pPr>
      <w:r>
        <w:rPr>
          <w:noProof/>
        </w:rPr>
        <mc:AlternateContent>
          <mc:Choice Requires="wps">
            <w:drawing>
              <wp:inline distT="0" distB="0" distL="0" distR="0" wp14:anchorId="5CC3243D" wp14:editId="00307A77">
                <wp:extent cx="301625" cy="301625"/>
                <wp:effectExtent l="0" t="0" r="0" b="4445"/>
                <wp:docPr id="1760161048"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989B25"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62BCEAB8" w14:textId="431A7273" w:rsidR="000C727D" w:rsidRDefault="00A224C0" w:rsidP="002027ED">
      <w:pPr>
        <w:pStyle w:val="F2-zkladn"/>
        <w:tabs>
          <w:tab w:val="right" w:pos="9070"/>
        </w:tabs>
        <w:spacing w:line="276" w:lineRule="auto"/>
      </w:pPr>
      <w:r>
        <w:rPr>
          <w:noProof/>
        </w:rPr>
        <mc:AlternateContent>
          <mc:Choice Requires="wps">
            <w:drawing>
              <wp:inline distT="0" distB="0" distL="0" distR="0" wp14:anchorId="79DC8C68" wp14:editId="09273930">
                <wp:extent cx="301625" cy="301625"/>
                <wp:effectExtent l="0" t="1270" r="0" b="1905"/>
                <wp:docPr id="168004872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514581"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Praha,</w:t>
      </w:r>
      <w:r w:rsidR="00883B41">
        <w:t xml:space="preserve"> </w:t>
      </w:r>
      <w:r w:rsidR="00631E30">
        <w:t>10</w:t>
      </w:r>
      <w:r w:rsidR="005420B4" w:rsidRPr="00893890">
        <w:t>.</w:t>
      </w:r>
      <w:r w:rsidR="00296EFF">
        <w:t xml:space="preserve"> </w:t>
      </w:r>
      <w:r w:rsidR="009727AA">
        <w:t>září</w:t>
      </w:r>
      <w:r w:rsidR="00EB4F26">
        <w:t xml:space="preserve"> </w:t>
      </w:r>
      <w:r w:rsidR="00A30105" w:rsidRPr="00893890">
        <w:t>20</w:t>
      </w:r>
      <w:r w:rsidR="00A7414F" w:rsidRPr="00893890">
        <w:t>2</w:t>
      </w:r>
      <w:r w:rsidR="00CB6DEB">
        <w:t>4</w:t>
      </w:r>
    </w:p>
    <w:p w14:paraId="048587CA" w14:textId="77777777" w:rsidR="002027ED" w:rsidRPr="002027ED" w:rsidRDefault="002027ED" w:rsidP="002027ED">
      <w:pPr>
        <w:pStyle w:val="F2-zkladn"/>
        <w:tabs>
          <w:tab w:val="right" w:pos="9070"/>
        </w:tabs>
        <w:spacing w:line="276" w:lineRule="auto"/>
      </w:pPr>
    </w:p>
    <w:p w14:paraId="11B6F5ED" w14:textId="249EE8B5" w:rsidR="00E76BE0" w:rsidRPr="00725F39" w:rsidRDefault="00262CDC" w:rsidP="00BE3711">
      <w:pPr>
        <w:pStyle w:val="paragraph"/>
        <w:spacing w:before="0" w:beforeAutospacing="0" w:after="0" w:afterAutospacing="0" w:line="276" w:lineRule="auto"/>
        <w:textAlignment w:val="baseline"/>
        <w:rPr>
          <w:rFonts w:ascii="Arial" w:hAnsi="Arial" w:cs="Arial"/>
          <w:b/>
          <w:bCs/>
          <w:color w:val="000000"/>
          <w:sz w:val="28"/>
          <w:szCs w:val="28"/>
          <w:lang w:val="cs-CZ"/>
        </w:rPr>
      </w:pPr>
      <w:r>
        <w:rPr>
          <w:rStyle w:val="normaltextrun"/>
          <w:rFonts w:ascii="Arial" w:hAnsi="Arial" w:cs="Arial"/>
          <w:b/>
          <w:bCs/>
          <w:color w:val="000000"/>
          <w:sz w:val="28"/>
          <w:szCs w:val="28"/>
          <w:lang w:val="cs-CZ"/>
        </w:rPr>
        <w:t xml:space="preserve">Fidelity International: </w:t>
      </w:r>
      <w:r w:rsidR="007A67F3">
        <w:rPr>
          <w:rStyle w:val="normaltextrun"/>
          <w:rFonts w:ascii="Arial" w:hAnsi="Arial" w:cs="Arial"/>
          <w:b/>
          <w:bCs/>
          <w:color w:val="000000"/>
          <w:sz w:val="28"/>
          <w:szCs w:val="28"/>
          <w:lang w:val="cs-CZ"/>
        </w:rPr>
        <w:t>„</w:t>
      </w:r>
      <w:r w:rsidR="009727AA">
        <w:rPr>
          <w:rStyle w:val="normaltextrun"/>
          <w:rFonts w:ascii="Arial" w:hAnsi="Arial" w:cs="Arial"/>
          <w:b/>
          <w:bCs/>
          <w:color w:val="000000"/>
          <w:sz w:val="28"/>
          <w:szCs w:val="28"/>
          <w:lang w:val="cs-CZ"/>
        </w:rPr>
        <w:t>Všude dobře, doma nejlíp</w:t>
      </w:r>
      <w:r w:rsidR="007A67F3">
        <w:rPr>
          <w:rStyle w:val="normaltextrun"/>
          <w:rFonts w:ascii="Arial" w:hAnsi="Arial" w:cs="Arial"/>
          <w:b/>
          <w:bCs/>
          <w:color w:val="000000"/>
          <w:sz w:val="28"/>
          <w:szCs w:val="28"/>
          <w:lang w:val="cs-CZ"/>
        </w:rPr>
        <w:t>“</w:t>
      </w:r>
      <w:r w:rsidR="009727AA">
        <w:rPr>
          <w:rStyle w:val="normaltextrun"/>
          <w:rFonts w:ascii="Arial" w:hAnsi="Arial" w:cs="Arial"/>
          <w:b/>
          <w:bCs/>
          <w:color w:val="000000"/>
          <w:sz w:val="28"/>
          <w:szCs w:val="28"/>
          <w:lang w:val="cs-CZ"/>
        </w:rPr>
        <w:t xml:space="preserve"> platí i pro peníze v Asii</w:t>
      </w:r>
    </w:p>
    <w:p w14:paraId="42A5E92F" w14:textId="76DD79E4" w:rsidR="0025641E" w:rsidRDefault="009727AA" w:rsidP="004E0978">
      <w:pPr>
        <w:spacing w:line="276" w:lineRule="auto"/>
        <w:rPr>
          <w:rFonts w:asciiTheme="minorHAnsi" w:hAnsiTheme="minorHAnsi" w:cstheme="minorHAnsi"/>
          <w:b/>
          <w:bCs/>
          <w:sz w:val="24"/>
          <w:szCs w:val="24"/>
        </w:rPr>
      </w:pPr>
      <w:r>
        <w:rPr>
          <w:rFonts w:asciiTheme="minorHAnsi" w:hAnsiTheme="minorHAnsi" w:cstheme="minorHAnsi"/>
          <w:b/>
          <w:bCs/>
          <w:sz w:val="24"/>
          <w:szCs w:val="24"/>
        </w:rPr>
        <w:t>Nedávný průzkum společnosti Fidelity International ukázal, že asijští drobní investoři jsou připraveni riskovat před očekávaným snížením úrokových sazeb v USA a upřednostňují akcie mimo region. Trhy blíže k domovu však mají stejně tak co nabídnout.</w:t>
      </w:r>
    </w:p>
    <w:p w14:paraId="500A178E" w14:textId="4CB64FC1" w:rsidR="00294A46" w:rsidRPr="00294A46" w:rsidRDefault="00C67B70" w:rsidP="00294A46">
      <w:pPr>
        <w:pStyle w:val="FIL3Body"/>
        <w:spacing w:line="360" w:lineRule="auto"/>
        <w:jc w:val="both"/>
        <w:rPr>
          <w:rFonts w:cs="Arial"/>
          <w:color w:val="20242B"/>
          <w:sz w:val="20"/>
          <w:szCs w:val="20"/>
          <w:shd w:val="clear" w:color="auto" w:fill="FFFFFF"/>
          <w:lang w:val="cs-CZ" w:eastAsia="cs-CZ"/>
        </w:rPr>
      </w:pPr>
      <w:r>
        <w:rPr>
          <w:rFonts w:cs="Arial"/>
          <w:color w:val="20242B"/>
          <w:sz w:val="20"/>
          <w:szCs w:val="20"/>
          <w:shd w:val="clear" w:color="auto" w:fill="FFFFFF"/>
          <w:lang w:val="cs-CZ" w:eastAsia="cs-CZ"/>
        </w:rPr>
        <w:br/>
      </w:r>
      <w:r w:rsidR="009617E7" w:rsidRPr="009617E7">
        <w:rPr>
          <w:rFonts w:cs="Arial"/>
          <w:i/>
          <w:iCs/>
          <w:color w:val="20242B"/>
          <w:sz w:val="20"/>
          <w:szCs w:val="20"/>
          <w:shd w:val="clear" w:color="auto" w:fill="FFFFFF"/>
          <w:lang w:val="cs-CZ" w:eastAsia="cs-CZ"/>
        </w:rPr>
        <w:t>„</w:t>
      </w:r>
      <w:r w:rsidR="009727AA" w:rsidRPr="009617E7">
        <w:rPr>
          <w:rFonts w:cs="Arial"/>
          <w:i/>
          <w:iCs/>
          <w:color w:val="20242B"/>
          <w:sz w:val="20"/>
          <w:szCs w:val="20"/>
          <w:shd w:val="clear" w:color="auto" w:fill="FFFFFF"/>
          <w:lang w:val="cs-CZ" w:eastAsia="cs-CZ"/>
        </w:rPr>
        <w:t>Pokud patříte k přísným střadatelům v Číně nebo Japonsku, rok 2024 by mohl být rokem, kdy konečně zhodnotíte své peníze</w:t>
      </w:r>
      <w:r w:rsidR="009617E7" w:rsidRPr="009617E7">
        <w:rPr>
          <w:rFonts w:cs="Arial"/>
          <w:i/>
          <w:iCs/>
          <w:color w:val="20242B"/>
          <w:sz w:val="20"/>
          <w:szCs w:val="20"/>
          <w:shd w:val="clear" w:color="auto" w:fill="FFFFFF"/>
          <w:lang w:val="cs-CZ" w:eastAsia="cs-CZ"/>
        </w:rPr>
        <w:t>,“</w:t>
      </w:r>
      <w:r w:rsidR="009617E7">
        <w:rPr>
          <w:rFonts w:cs="Arial"/>
          <w:color w:val="20242B"/>
          <w:sz w:val="20"/>
          <w:szCs w:val="20"/>
          <w:shd w:val="clear" w:color="auto" w:fill="FFFFFF"/>
          <w:lang w:val="cs-CZ" w:eastAsia="cs-CZ"/>
        </w:rPr>
        <w:t xml:space="preserve"> říká Martin </w:t>
      </w:r>
      <w:proofErr w:type="spellStart"/>
      <w:r w:rsidR="009617E7">
        <w:rPr>
          <w:rFonts w:cs="Arial"/>
          <w:color w:val="20242B"/>
          <w:sz w:val="20"/>
          <w:szCs w:val="20"/>
          <w:shd w:val="clear" w:color="auto" w:fill="FFFFFF"/>
          <w:lang w:val="cs-CZ" w:eastAsia="cs-CZ"/>
        </w:rPr>
        <w:t>Dropkin</w:t>
      </w:r>
      <w:proofErr w:type="spellEnd"/>
      <w:r w:rsidR="009617E7">
        <w:rPr>
          <w:rFonts w:cs="Arial"/>
          <w:color w:val="20242B"/>
          <w:sz w:val="20"/>
          <w:szCs w:val="20"/>
          <w:shd w:val="clear" w:color="auto" w:fill="FFFFFF"/>
          <w:lang w:val="cs-CZ" w:eastAsia="cs-CZ"/>
        </w:rPr>
        <w:t xml:space="preserve">, manažer týmů Akcií a </w:t>
      </w:r>
      <w:proofErr w:type="spellStart"/>
      <w:r w:rsidR="009617E7">
        <w:rPr>
          <w:rFonts w:cs="Arial"/>
          <w:color w:val="20242B"/>
          <w:sz w:val="20"/>
          <w:szCs w:val="20"/>
          <w:shd w:val="clear" w:color="auto" w:fill="FFFFFF"/>
          <w:lang w:val="cs-CZ" w:eastAsia="cs-CZ"/>
        </w:rPr>
        <w:t>Fixed</w:t>
      </w:r>
      <w:proofErr w:type="spellEnd"/>
      <w:r w:rsidR="009617E7">
        <w:rPr>
          <w:rFonts w:cs="Arial"/>
          <w:color w:val="20242B"/>
          <w:sz w:val="20"/>
          <w:szCs w:val="20"/>
          <w:shd w:val="clear" w:color="auto" w:fill="FFFFFF"/>
          <w:lang w:val="cs-CZ" w:eastAsia="cs-CZ"/>
        </w:rPr>
        <w:t xml:space="preserve"> </w:t>
      </w:r>
      <w:proofErr w:type="spellStart"/>
      <w:r w:rsidR="009617E7">
        <w:rPr>
          <w:rFonts w:cs="Arial"/>
          <w:color w:val="20242B"/>
          <w:sz w:val="20"/>
          <w:szCs w:val="20"/>
          <w:shd w:val="clear" w:color="auto" w:fill="FFFFFF"/>
          <w:lang w:val="cs-CZ" w:eastAsia="cs-CZ"/>
        </w:rPr>
        <w:t>Income</w:t>
      </w:r>
      <w:proofErr w:type="spellEnd"/>
      <w:r w:rsidR="009617E7">
        <w:rPr>
          <w:rFonts w:cs="Arial"/>
          <w:color w:val="20242B"/>
          <w:sz w:val="20"/>
          <w:szCs w:val="20"/>
          <w:shd w:val="clear" w:color="auto" w:fill="FFFFFF"/>
          <w:lang w:val="cs-CZ" w:eastAsia="cs-CZ"/>
        </w:rPr>
        <w:t xml:space="preserve"> společnosti </w:t>
      </w:r>
      <w:proofErr w:type="spellStart"/>
      <w:r w:rsidR="009617E7">
        <w:rPr>
          <w:rFonts w:cs="Arial"/>
          <w:color w:val="20242B"/>
          <w:sz w:val="20"/>
          <w:szCs w:val="20"/>
          <w:shd w:val="clear" w:color="auto" w:fill="FFFFFF"/>
          <w:lang w:val="cs-CZ" w:eastAsia="cs-CZ"/>
        </w:rPr>
        <w:t>Fidelity</w:t>
      </w:r>
      <w:proofErr w:type="spellEnd"/>
      <w:r w:rsidR="009617E7">
        <w:rPr>
          <w:rFonts w:cs="Arial"/>
          <w:color w:val="20242B"/>
          <w:sz w:val="20"/>
          <w:szCs w:val="20"/>
          <w:shd w:val="clear" w:color="auto" w:fill="FFFFFF"/>
          <w:lang w:val="cs-CZ" w:eastAsia="cs-CZ"/>
        </w:rPr>
        <w:t>.</w:t>
      </w:r>
      <w:r w:rsidR="009727AA">
        <w:rPr>
          <w:rFonts w:cs="Arial"/>
          <w:color w:val="20242B"/>
          <w:sz w:val="20"/>
          <w:szCs w:val="20"/>
          <w:shd w:val="clear" w:color="auto" w:fill="FFFFFF"/>
          <w:lang w:val="cs-CZ" w:eastAsia="cs-CZ"/>
        </w:rPr>
        <w:t xml:space="preserve"> Japonská vláda zdvojnásobuje limit pro NISA, investiční systém v zemi osvobozený od daně, čímž se potencionálně uvolní miliardy dolarů nevyužitých úspor. V Číně, kde je míra úspor (v poměru k HDP) mnohem vyšší než celosvětový prů</w:t>
      </w:r>
      <w:r w:rsidR="009617E7">
        <w:rPr>
          <w:rFonts w:cs="Arial"/>
          <w:color w:val="20242B"/>
          <w:sz w:val="20"/>
          <w:szCs w:val="20"/>
          <w:shd w:val="clear" w:color="auto" w:fill="FFFFFF"/>
          <w:lang w:val="cs-CZ" w:eastAsia="cs-CZ"/>
        </w:rPr>
        <w:t xml:space="preserve">měr, zvyšují úřady investiční kvóty pro zahraniční akcie a dluhopisy, aby uspokojily horečnou poptávku po investičních nástrojích. Zájem o zahraniční trhy je přitom takový, že někteří obchodníci jsou ochotni platit 40procentní prémii na podkladová aktiva za ETF, která investují mimo Čínu. </w:t>
      </w:r>
    </w:p>
    <w:p w14:paraId="44A05F68" w14:textId="0658164B" w:rsidR="00210EEA" w:rsidRPr="00210EEA" w:rsidRDefault="009617E7" w:rsidP="00210EEA">
      <w:pPr>
        <w:pStyle w:val="FIL3Body"/>
        <w:spacing w:line="360" w:lineRule="auto"/>
        <w:jc w:val="both"/>
        <w:rPr>
          <w:rFonts w:cs="Arial"/>
          <w:color w:val="20242B"/>
          <w:sz w:val="20"/>
          <w:szCs w:val="20"/>
          <w:shd w:val="clear" w:color="auto" w:fill="FFFFFF"/>
          <w:lang w:val="cs-CZ" w:eastAsia="cs-CZ"/>
        </w:rPr>
      </w:pPr>
      <w:r>
        <w:rPr>
          <w:rFonts w:cs="Arial"/>
          <w:color w:val="20242B"/>
          <w:sz w:val="20"/>
          <w:szCs w:val="20"/>
          <w:shd w:val="clear" w:color="auto" w:fill="FFFFFF"/>
          <w:lang w:val="cs-CZ" w:eastAsia="cs-CZ"/>
        </w:rPr>
        <w:t xml:space="preserve">Individuální investoři v Číně nebo Japonsku jsou ale ti nejopatrnější v regionu. V průzkumu, který provedly společnosti </w:t>
      </w:r>
      <w:proofErr w:type="spellStart"/>
      <w:r>
        <w:rPr>
          <w:rFonts w:cs="Arial"/>
          <w:color w:val="20242B"/>
          <w:sz w:val="20"/>
          <w:szCs w:val="20"/>
          <w:shd w:val="clear" w:color="auto" w:fill="FFFFFF"/>
          <w:lang w:val="cs-CZ" w:eastAsia="cs-CZ"/>
        </w:rPr>
        <w:t>Fidelity</w:t>
      </w:r>
      <w:proofErr w:type="spellEnd"/>
      <w:r>
        <w:rPr>
          <w:rFonts w:cs="Arial"/>
          <w:color w:val="20242B"/>
          <w:sz w:val="20"/>
          <w:szCs w:val="20"/>
          <w:shd w:val="clear" w:color="auto" w:fill="FFFFFF"/>
          <w:lang w:val="cs-CZ" w:eastAsia="cs-CZ"/>
        </w:rPr>
        <w:t xml:space="preserve"> International a </w:t>
      </w:r>
      <w:proofErr w:type="spellStart"/>
      <w:r>
        <w:rPr>
          <w:rFonts w:cs="Arial"/>
          <w:color w:val="20242B"/>
          <w:sz w:val="20"/>
          <w:szCs w:val="20"/>
          <w:shd w:val="clear" w:color="auto" w:fill="FFFFFF"/>
          <w:lang w:val="cs-CZ" w:eastAsia="cs-CZ"/>
        </w:rPr>
        <w:t>YouGov</w:t>
      </w:r>
      <w:proofErr w:type="spellEnd"/>
      <w:r>
        <w:rPr>
          <w:rFonts w:cs="Arial"/>
          <w:color w:val="20242B"/>
          <w:sz w:val="20"/>
          <w:szCs w:val="20"/>
          <w:shd w:val="clear" w:color="auto" w:fill="FFFFFF"/>
          <w:lang w:val="cs-CZ" w:eastAsia="cs-CZ"/>
        </w:rPr>
        <w:t xml:space="preserve"> mezi více než 6 500 drobnými investory, 70 a 78 % čínských a japonských investorů drží část svých portfolií v depozitech (ve srovnání například s 56 % v Singapuru a 38 % v Austrálii). S tím, jak se americký Federální rezervní </w:t>
      </w:r>
      <w:r w:rsidR="000B579C">
        <w:rPr>
          <w:rFonts w:cs="Arial"/>
          <w:color w:val="20242B"/>
          <w:sz w:val="20"/>
          <w:szCs w:val="20"/>
          <w:shd w:val="clear" w:color="auto" w:fill="FFFFFF"/>
          <w:lang w:val="cs-CZ" w:eastAsia="cs-CZ"/>
        </w:rPr>
        <w:t>systém připravuje na snížení úrokových sazeb, se však oni i další investoři v regionu osmělují. 53 % respondentů uvedlo, že plánují zvýšit podíl akcií ve svých portfoliích, a 42 % uvedlo, že sníží podíl hotovosti v portfoliích.</w:t>
      </w:r>
    </w:p>
    <w:p w14:paraId="28FA5F5D" w14:textId="35C8D05B" w:rsidR="00210EEA" w:rsidRDefault="00C405D9" w:rsidP="00210EEA">
      <w:pPr>
        <w:pStyle w:val="FIL3Body"/>
        <w:spacing w:line="360" w:lineRule="auto"/>
        <w:jc w:val="both"/>
        <w:rPr>
          <w:rFonts w:cs="Arial"/>
          <w:color w:val="20242B"/>
          <w:sz w:val="20"/>
          <w:szCs w:val="20"/>
          <w:shd w:val="clear" w:color="auto" w:fill="FFFFFF"/>
          <w:lang w:val="cs-CZ" w:eastAsia="cs-CZ"/>
        </w:rPr>
      </w:pPr>
      <w:r>
        <w:rPr>
          <w:rFonts w:cs="Arial"/>
          <w:color w:val="20242B"/>
          <w:sz w:val="20"/>
          <w:szCs w:val="20"/>
          <w:shd w:val="clear" w:color="auto" w:fill="FFFFFF"/>
          <w:lang w:val="cs-CZ" w:eastAsia="cs-CZ"/>
        </w:rPr>
        <w:t xml:space="preserve">Paradoxem je, že ti samí investoři nejsou připraveni vzdát se příjmů, které jim přináší vysoké úrokové sazby. Přibližně dvě třetiny z nich uvádějí, že budou </w:t>
      </w:r>
      <w:r w:rsidR="00E45553">
        <w:rPr>
          <w:rFonts w:cs="Arial"/>
          <w:color w:val="20242B"/>
          <w:sz w:val="20"/>
          <w:szCs w:val="20"/>
          <w:shd w:val="clear" w:color="auto" w:fill="FFFFFF"/>
          <w:lang w:val="cs-CZ" w:eastAsia="cs-CZ"/>
        </w:rPr>
        <w:t xml:space="preserve">dávat prostředky do výnosových investic. Navzdory </w:t>
      </w:r>
      <w:r w:rsidR="00AF258A">
        <w:rPr>
          <w:rFonts w:cs="Arial"/>
          <w:color w:val="20242B"/>
          <w:sz w:val="20"/>
          <w:szCs w:val="20"/>
          <w:shd w:val="clear" w:color="auto" w:fill="FFFFFF"/>
          <w:lang w:val="cs-CZ" w:eastAsia="cs-CZ"/>
        </w:rPr>
        <w:t xml:space="preserve">celkové náladě nakloněné riziku jsou investoři rozděleni na dvě poloviny, pokud jde o to, zda převést stávající vklady </w:t>
      </w:r>
      <w:r w:rsidR="00AF258A" w:rsidRPr="00AF258A">
        <w:rPr>
          <w:rFonts w:cs="Arial"/>
          <w:color w:val="20242B"/>
          <w:sz w:val="20"/>
          <w:szCs w:val="20"/>
          <w:shd w:val="clear" w:color="auto" w:fill="FFFFFF"/>
          <w:lang w:val="cs-CZ" w:eastAsia="cs-CZ"/>
        </w:rPr>
        <w:t>–</w:t>
      </w:r>
      <w:r w:rsidR="00AF258A">
        <w:rPr>
          <w:rFonts w:cs="Arial"/>
          <w:color w:val="20242B"/>
          <w:sz w:val="20"/>
          <w:szCs w:val="20"/>
          <w:shd w:val="clear" w:color="auto" w:fill="FFFFFF"/>
          <w:lang w:val="cs-CZ" w:eastAsia="cs-CZ"/>
        </w:rPr>
        <w:t xml:space="preserve"> „pro“ i „proti“ je přibližně 30 % (zbytek si není jistý). </w:t>
      </w:r>
    </w:p>
    <w:p w14:paraId="4F07E10C" w14:textId="07D171A0" w:rsidR="00B375B6" w:rsidRDefault="00B375B6" w:rsidP="00210EEA">
      <w:pPr>
        <w:pStyle w:val="FIL3Body"/>
        <w:spacing w:line="360" w:lineRule="auto"/>
        <w:jc w:val="both"/>
        <w:rPr>
          <w:rFonts w:cs="Arial"/>
          <w:color w:val="20242B"/>
          <w:sz w:val="20"/>
          <w:szCs w:val="20"/>
          <w:shd w:val="clear" w:color="auto" w:fill="FFFFFF"/>
          <w:lang w:val="cs-CZ" w:eastAsia="cs-CZ"/>
        </w:rPr>
      </w:pPr>
      <w:r>
        <w:rPr>
          <w:rFonts w:cs="Arial"/>
          <w:color w:val="20242B"/>
          <w:sz w:val="20"/>
          <w:szCs w:val="20"/>
          <w:shd w:val="clear" w:color="auto" w:fill="FFFFFF"/>
          <w:lang w:val="cs-CZ" w:eastAsia="cs-CZ"/>
        </w:rPr>
        <w:t>Kam tedy směřují nové peníze v Asii? Více než polovina respondentů dává přednost trhům mimo Asii, přičemž na prvním místě jsou Spojené státy a jejich „úžasná sedmička“ technologických akcií poháněná umělou inteligencí (první volba pro 34 % respondentů) Dalších 25 % zvolilo globální akcie. Na pevninské Číně dává 31 % investorů přednost Asii bez Japonska a 24 % chce rozvíjející se trhy. Jediným trhem s jasným příklonem k domácímu trhu je Japonsko, kde se 58 % respondentů rozhodlo investovat na domácím trhu.</w:t>
      </w:r>
    </w:p>
    <w:p w14:paraId="5F8F8015" w14:textId="12A52B67" w:rsidR="00391A9C" w:rsidRDefault="007B391E" w:rsidP="00AE1EEC">
      <w:pPr>
        <w:spacing w:after="210" w:line="240" w:lineRule="auto"/>
        <w:rPr>
          <w:rFonts w:asciiTheme="minorHAnsi" w:hAnsiTheme="minorHAnsi" w:cstheme="minorHAnsi"/>
          <w:b/>
          <w:bCs/>
          <w:sz w:val="24"/>
          <w:szCs w:val="24"/>
        </w:rPr>
      </w:pPr>
      <w:r>
        <w:rPr>
          <w:rFonts w:asciiTheme="minorHAnsi" w:hAnsiTheme="minorHAnsi" w:cstheme="minorHAnsi"/>
          <w:b/>
          <w:bCs/>
          <w:sz w:val="24"/>
          <w:szCs w:val="24"/>
        </w:rPr>
        <w:lastRenderedPageBreak/>
        <w:t>Graf 1: Drobní investoři v Asii dávají přednost americkým a globálním akciím</w:t>
      </w:r>
    </w:p>
    <w:p w14:paraId="09CC9880" w14:textId="3EA958BD" w:rsidR="007B391E" w:rsidRPr="007B391E" w:rsidRDefault="00DB3E0A" w:rsidP="007B391E">
      <w:pPr>
        <w:pStyle w:val="F2-zkladn"/>
        <w:rPr>
          <w:i/>
          <w:iCs/>
        </w:rPr>
      </w:pPr>
      <w:r w:rsidRPr="00DB3E0A">
        <w:rPr>
          <w:i/>
          <w:iCs/>
          <w:noProof/>
          <w:sz w:val="18"/>
          <w:szCs w:val="18"/>
        </w:rPr>
        <w:drawing>
          <wp:anchor distT="0" distB="0" distL="114300" distR="114300" simplePos="0" relativeHeight="251660288" behindDoc="0" locked="0" layoutInCell="1" allowOverlap="1" wp14:anchorId="11B5B327" wp14:editId="1B7A3DBC">
            <wp:simplePos x="0" y="0"/>
            <wp:positionH relativeFrom="column">
              <wp:posOffset>-107950</wp:posOffset>
            </wp:positionH>
            <wp:positionV relativeFrom="paragraph">
              <wp:posOffset>342265</wp:posOffset>
            </wp:positionV>
            <wp:extent cx="5759450" cy="2762885"/>
            <wp:effectExtent l="0" t="0" r="0" b="0"/>
            <wp:wrapTopAndBottom/>
            <wp:docPr id="10662597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25977" name=""/>
                    <pic:cNvPicPr/>
                  </pic:nvPicPr>
                  <pic:blipFill>
                    <a:blip r:embed="rId12">
                      <a:extLst>
                        <a:ext uri="{28A0092B-C50C-407E-A947-70E740481C1C}">
                          <a14:useLocalDpi xmlns:a14="http://schemas.microsoft.com/office/drawing/2010/main" val="0"/>
                        </a:ext>
                      </a:extLst>
                    </a:blip>
                    <a:stretch>
                      <a:fillRect/>
                    </a:stretch>
                  </pic:blipFill>
                  <pic:spPr>
                    <a:xfrm>
                      <a:off x="0" y="0"/>
                      <a:ext cx="5759450" cy="2762885"/>
                    </a:xfrm>
                    <a:prstGeom prst="rect">
                      <a:avLst/>
                    </a:prstGeom>
                  </pic:spPr>
                </pic:pic>
              </a:graphicData>
            </a:graphic>
          </wp:anchor>
        </w:drawing>
      </w:r>
      <w:r w:rsidR="007B391E" w:rsidRPr="007B391E">
        <w:rPr>
          <w:i/>
          <w:iCs/>
        </w:rPr>
        <w:t>Procenta odpovědí na otázku: „Na které trhy hodláte alokovat investice v příštích 12 měsících?“</w:t>
      </w:r>
    </w:p>
    <w:p w14:paraId="07D8EFC8" w14:textId="5EFA2D51" w:rsidR="00C2620B" w:rsidRDefault="00C2620B" w:rsidP="00391A9C">
      <w:pPr>
        <w:rPr>
          <w:i/>
          <w:iCs/>
          <w:sz w:val="18"/>
          <w:szCs w:val="18"/>
        </w:rPr>
      </w:pPr>
      <w:r w:rsidRPr="00C2620B">
        <w:rPr>
          <w:i/>
          <w:iCs/>
          <w:sz w:val="18"/>
          <w:szCs w:val="18"/>
        </w:rPr>
        <w:t xml:space="preserve">Zdroj: </w:t>
      </w:r>
      <w:proofErr w:type="spellStart"/>
      <w:r w:rsidRPr="00C2620B">
        <w:rPr>
          <w:i/>
          <w:iCs/>
          <w:sz w:val="18"/>
          <w:szCs w:val="18"/>
        </w:rPr>
        <w:t>Fidelity</w:t>
      </w:r>
      <w:proofErr w:type="spellEnd"/>
      <w:r w:rsidRPr="00C2620B">
        <w:rPr>
          <w:i/>
          <w:iCs/>
          <w:sz w:val="18"/>
          <w:szCs w:val="18"/>
        </w:rPr>
        <w:t xml:space="preserve"> International, </w:t>
      </w:r>
      <w:proofErr w:type="spellStart"/>
      <w:r w:rsidRPr="00C2620B">
        <w:rPr>
          <w:i/>
          <w:iCs/>
          <w:sz w:val="18"/>
          <w:szCs w:val="18"/>
        </w:rPr>
        <w:t>YouGov</w:t>
      </w:r>
      <w:proofErr w:type="spellEnd"/>
      <w:r w:rsidRPr="00C2620B">
        <w:rPr>
          <w:i/>
          <w:iCs/>
          <w:sz w:val="18"/>
          <w:szCs w:val="18"/>
        </w:rPr>
        <w:t xml:space="preserve">, červenec 2024. Respondenti vybrali všechny možnosti, které se k nim vztahují. </w:t>
      </w:r>
    </w:p>
    <w:p w14:paraId="357B4C06" w14:textId="75C65E2B" w:rsidR="00391A9C" w:rsidRDefault="0030766B" w:rsidP="00391A9C">
      <w:pPr>
        <w:spacing w:after="210" w:line="360" w:lineRule="auto"/>
        <w:rPr>
          <w:rFonts w:asciiTheme="minorHAnsi" w:hAnsiTheme="minorHAnsi" w:cstheme="minorHAnsi"/>
          <w:b/>
          <w:bCs/>
          <w:sz w:val="24"/>
          <w:szCs w:val="24"/>
        </w:rPr>
      </w:pPr>
      <w:r>
        <w:rPr>
          <w:rFonts w:asciiTheme="minorHAnsi" w:hAnsiTheme="minorHAnsi" w:cstheme="minorHAnsi"/>
          <w:b/>
          <w:bCs/>
          <w:sz w:val="24"/>
          <w:szCs w:val="24"/>
        </w:rPr>
        <w:br/>
        <w:t>Světlé stránky Asie</w:t>
      </w:r>
    </w:p>
    <w:p w14:paraId="72E2C6D8" w14:textId="2E30A170" w:rsidR="00391A9C" w:rsidRPr="00391A9C" w:rsidRDefault="0030766B" w:rsidP="00391A9C">
      <w:pPr>
        <w:rPr>
          <w:color w:val="20242B"/>
          <w:shd w:val="clear" w:color="auto" w:fill="FFFFFF"/>
        </w:rPr>
      </w:pPr>
      <w:r w:rsidRPr="0030766B">
        <w:rPr>
          <w:i/>
          <w:iCs/>
          <w:color w:val="20242B"/>
          <w:shd w:val="clear" w:color="auto" w:fill="FFFFFF"/>
        </w:rPr>
        <w:t xml:space="preserve">„Často varujeme před domácím zkreslením. Pokud by investoři například zůstali </w:t>
      </w:r>
      <w:proofErr w:type="spellStart"/>
      <w:r w:rsidRPr="0030766B">
        <w:rPr>
          <w:i/>
          <w:iCs/>
          <w:color w:val="20242B"/>
          <w:shd w:val="clear" w:color="auto" w:fill="FFFFFF"/>
        </w:rPr>
        <w:t>nadvážení</w:t>
      </w:r>
      <w:proofErr w:type="spellEnd"/>
      <w:r w:rsidRPr="0030766B">
        <w:rPr>
          <w:i/>
          <w:iCs/>
          <w:color w:val="20242B"/>
          <w:shd w:val="clear" w:color="auto" w:fill="FFFFFF"/>
        </w:rPr>
        <w:t xml:space="preserve"> u domácích akcií, když stoupající část globálního růstu přichází z oblastí mimo domácí trh, přišli by o výhodu. Ale pro asijské investory, kteří chtějí právě teď riskovat a zároveň si zachovat příjem, může být trocha domácí regionální zaujatosti přesně to, co potřebují,“</w:t>
      </w:r>
      <w:r w:rsidRPr="0030766B">
        <w:rPr>
          <w:color w:val="20242B"/>
          <w:shd w:val="clear" w:color="auto" w:fill="FFFFFF"/>
        </w:rPr>
        <w:t xml:space="preserve"> </w:t>
      </w:r>
      <w:r>
        <w:rPr>
          <w:color w:val="20242B"/>
          <w:shd w:val="clear" w:color="auto" w:fill="FFFFFF"/>
        </w:rPr>
        <w:t xml:space="preserve">dodává Martin </w:t>
      </w:r>
      <w:proofErr w:type="spellStart"/>
      <w:r>
        <w:rPr>
          <w:color w:val="20242B"/>
          <w:shd w:val="clear" w:color="auto" w:fill="FFFFFF"/>
        </w:rPr>
        <w:t>Dropkin</w:t>
      </w:r>
      <w:proofErr w:type="spellEnd"/>
      <w:r>
        <w:rPr>
          <w:color w:val="20242B"/>
          <w:shd w:val="clear" w:color="auto" w:fill="FFFFFF"/>
        </w:rPr>
        <w:t xml:space="preserve">. </w:t>
      </w:r>
    </w:p>
    <w:p w14:paraId="3AC73B66" w14:textId="7A4BD796" w:rsidR="00650A33" w:rsidRPr="00650A33" w:rsidRDefault="0030766B" w:rsidP="00650A33">
      <w:pPr>
        <w:rPr>
          <w:color w:val="20242B"/>
          <w:shd w:val="clear" w:color="auto" w:fill="FFFFFF"/>
        </w:rPr>
      </w:pPr>
      <w:r>
        <w:rPr>
          <w:color w:val="20242B"/>
          <w:shd w:val="clear" w:color="auto" w:fill="FFFFFF"/>
        </w:rPr>
        <w:t xml:space="preserve">Čína, Japonsko a Korea povzbuzují </w:t>
      </w:r>
      <w:r w:rsidRPr="0030766B">
        <w:rPr>
          <w:color w:val="20242B"/>
          <w:shd w:val="clear" w:color="auto" w:fill="FFFFFF"/>
        </w:rPr>
        <w:t>společnosti, aby investory odměňovaly. To bylo méně znepokojující, když Čína rychle rostla nebo když Japonsko mělo plné ruce práce s řešením deflačních bolestí, ale teď se situace v obou zemích dramaticky změnila. A také Soul snaží vyřešit dlouholetou hádanku „korejského diskontu“ vyšší návratností pro akcionáře. Jedná se o promyšlené reformy, které slibují strukturální změny a stabilní příjmy v příštích letech. Ačkoli dividendové výplatní poměry v těchto zemích (v současnosti mezi 30 a 35 %) zaostávají za celosvětovým průměrem (45 %), očekáváme, že je budou postupně dohánět, jak se reformy budou prosazovat.</w:t>
      </w:r>
    </w:p>
    <w:p w14:paraId="37D68409" w14:textId="77777777" w:rsidR="0030766B" w:rsidRPr="0030766B" w:rsidRDefault="0030766B" w:rsidP="0030766B">
      <w:pPr>
        <w:rPr>
          <w:color w:val="20242B"/>
          <w:shd w:val="clear" w:color="auto" w:fill="FFFFFF"/>
        </w:rPr>
      </w:pPr>
      <w:r w:rsidRPr="0030766B">
        <w:rPr>
          <w:color w:val="20242B"/>
          <w:shd w:val="clear" w:color="auto" w:fill="FFFFFF"/>
        </w:rPr>
        <w:t xml:space="preserve">Asie je také místem, kde se růst a příjmy prolínají. Stejně jako USA </w:t>
      </w:r>
      <w:proofErr w:type="spellStart"/>
      <w:r w:rsidRPr="0030766B">
        <w:rPr>
          <w:color w:val="20242B"/>
          <w:shd w:val="clear" w:color="auto" w:fill="FFFFFF"/>
        </w:rPr>
        <w:t>benefituje</w:t>
      </w:r>
      <w:proofErr w:type="spellEnd"/>
      <w:r w:rsidRPr="0030766B">
        <w:rPr>
          <w:color w:val="20242B"/>
          <w:shd w:val="clear" w:color="auto" w:fill="FFFFFF"/>
        </w:rPr>
        <w:t xml:space="preserve"> i Asie z megatrendu umělé inteligence, i když s větším důrazem na hardware. Na trzích, jako je Korea a Tchaj-wan, sídlí jedni z největších výrobců polovodičů, tedy základního materiálu, který se používá k vytváření mozků umělé inteligence v elektronických čipech. Přibližně třetina korejského referenčního indexu </w:t>
      </w:r>
      <w:proofErr w:type="spellStart"/>
      <w:r w:rsidRPr="0030766B">
        <w:rPr>
          <w:color w:val="20242B"/>
          <w:shd w:val="clear" w:color="auto" w:fill="FFFFFF"/>
        </w:rPr>
        <w:t>Kospi</w:t>
      </w:r>
      <w:proofErr w:type="spellEnd"/>
      <w:r w:rsidRPr="0030766B">
        <w:rPr>
          <w:color w:val="20242B"/>
          <w:shd w:val="clear" w:color="auto" w:fill="FFFFFF"/>
        </w:rPr>
        <w:t xml:space="preserve"> je naplněna akciemi souvisejícími s čipy. Tato dominance v dodavatelských řetězcích polotovarů nejenže podporuje růst zisků v dobrých časech, ale také buduje finanční odolnost těchto společností vůči špatným časům, díky čemuž mají větší šanci odměnit investory v průběhu cyklů – a tedy slušně vydělávající investice.</w:t>
      </w:r>
    </w:p>
    <w:p w14:paraId="5402008D" w14:textId="1ED163F1" w:rsidR="003337EA" w:rsidRDefault="00995929" w:rsidP="003337EA">
      <w:pPr>
        <w:spacing w:after="210" w:line="360" w:lineRule="auto"/>
        <w:rPr>
          <w:i/>
          <w:iCs/>
          <w:sz w:val="18"/>
          <w:szCs w:val="18"/>
        </w:rPr>
      </w:pPr>
      <w:r w:rsidRPr="00995929">
        <w:rPr>
          <w:noProof/>
        </w:rPr>
        <w:lastRenderedPageBreak/>
        <w:drawing>
          <wp:anchor distT="0" distB="0" distL="114300" distR="114300" simplePos="0" relativeHeight="251661312" behindDoc="0" locked="0" layoutInCell="1" allowOverlap="1" wp14:anchorId="0487B1D8" wp14:editId="07070A90">
            <wp:simplePos x="0" y="0"/>
            <wp:positionH relativeFrom="column">
              <wp:posOffset>-44450</wp:posOffset>
            </wp:positionH>
            <wp:positionV relativeFrom="paragraph">
              <wp:posOffset>731520</wp:posOffset>
            </wp:positionV>
            <wp:extent cx="5759450" cy="2647315"/>
            <wp:effectExtent l="0" t="0" r="0" b="635"/>
            <wp:wrapTopAndBottom/>
            <wp:docPr id="191989560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895601" name=""/>
                    <pic:cNvPicPr/>
                  </pic:nvPicPr>
                  <pic:blipFill>
                    <a:blip r:embed="rId13">
                      <a:extLst>
                        <a:ext uri="{28A0092B-C50C-407E-A947-70E740481C1C}">
                          <a14:useLocalDpi xmlns:a14="http://schemas.microsoft.com/office/drawing/2010/main" val="0"/>
                        </a:ext>
                      </a:extLst>
                    </a:blip>
                    <a:stretch>
                      <a:fillRect/>
                    </a:stretch>
                  </pic:blipFill>
                  <pic:spPr>
                    <a:xfrm>
                      <a:off x="0" y="0"/>
                      <a:ext cx="5759450" cy="2647315"/>
                    </a:xfrm>
                    <a:prstGeom prst="rect">
                      <a:avLst/>
                    </a:prstGeom>
                  </pic:spPr>
                </pic:pic>
              </a:graphicData>
            </a:graphic>
          </wp:anchor>
        </w:drawing>
      </w:r>
      <w:r w:rsidR="003E5C35">
        <w:rPr>
          <w:rFonts w:asciiTheme="minorHAnsi" w:hAnsiTheme="minorHAnsi" w:cstheme="minorHAnsi"/>
          <w:b/>
          <w:bCs/>
          <w:sz w:val="24"/>
          <w:szCs w:val="24"/>
        </w:rPr>
        <w:t xml:space="preserve">Graf </w:t>
      </w:r>
      <w:r w:rsidR="00CB5434">
        <w:rPr>
          <w:rFonts w:asciiTheme="minorHAnsi" w:hAnsiTheme="minorHAnsi" w:cstheme="minorHAnsi"/>
          <w:b/>
          <w:bCs/>
          <w:sz w:val="24"/>
          <w:szCs w:val="24"/>
        </w:rPr>
        <w:t xml:space="preserve">2: </w:t>
      </w:r>
      <w:r w:rsidR="00CB5434" w:rsidRPr="00CB5434">
        <w:rPr>
          <w:rFonts w:asciiTheme="minorHAnsi" w:hAnsiTheme="minorHAnsi" w:cstheme="minorHAnsi"/>
          <w:b/>
          <w:bCs/>
          <w:sz w:val="24"/>
          <w:szCs w:val="24"/>
        </w:rPr>
        <w:t>Drobní investoři v Asii se před očekávaným snížením sazeb v USA zaměřili na příjmy</w:t>
      </w:r>
      <w:r w:rsidR="003337EA" w:rsidRPr="003337EA">
        <w:rPr>
          <w:i/>
          <w:iCs/>
          <w:sz w:val="18"/>
          <w:szCs w:val="18"/>
        </w:rPr>
        <w:t xml:space="preserve"> </w:t>
      </w:r>
      <w:r w:rsidR="003337EA" w:rsidRPr="000766BF">
        <w:rPr>
          <w:i/>
          <w:iCs/>
          <w:sz w:val="18"/>
          <w:szCs w:val="18"/>
        </w:rPr>
        <w:t>Procenta odpovědí na otázku: „Vzhledem k očekávanému snížení úrokových sazeb Fed</w:t>
      </w:r>
      <w:r w:rsidR="00954170">
        <w:rPr>
          <w:i/>
          <w:iCs/>
          <w:sz w:val="18"/>
          <w:szCs w:val="18"/>
        </w:rPr>
        <w:t xml:space="preserve"> </w:t>
      </w:r>
      <w:r w:rsidR="003337EA" w:rsidRPr="000766BF">
        <w:rPr>
          <w:i/>
          <w:iCs/>
          <w:sz w:val="18"/>
          <w:szCs w:val="18"/>
        </w:rPr>
        <w:t>v příštích 6-12 měsících, do jaké míry souhlasíte s níže uvedeným tvrzením?</w:t>
      </w:r>
      <w:r w:rsidR="003337EA">
        <w:rPr>
          <w:i/>
          <w:iCs/>
          <w:sz w:val="18"/>
          <w:szCs w:val="18"/>
        </w:rPr>
        <w:t>“</w:t>
      </w:r>
    </w:p>
    <w:p w14:paraId="1D4CEB68" w14:textId="6DC44791" w:rsidR="003E5C35" w:rsidRPr="003E5C35" w:rsidRDefault="00080A22" w:rsidP="00080A22">
      <w:pPr>
        <w:spacing w:after="210" w:line="360" w:lineRule="auto"/>
        <w:rPr>
          <w:i/>
          <w:iCs/>
          <w:sz w:val="18"/>
          <w:szCs w:val="18"/>
        </w:rPr>
      </w:pPr>
      <w:r>
        <w:rPr>
          <w:i/>
          <w:iCs/>
          <w:sz w:val="18"/>
          <w:szCs w:val="18"/>
        </w:rPr>
        <w:br/>
      </w:r>
      <w:r w:rsidRPr="00080A22">
        <w:rPr>
          <w:i/>
          <w:iCs/>
          <w:sz w:val="18"/>
          <w:szCs w:val="18"/>
        </w:rPr>
        <w:t xml:space="preserve">Zdroj: </w:t>
      </w:r>
      <w:proofErr w:type="spellStart"/>
      <w:r w:rsidRPr="00080A22">
        <w:rPr>
          <w:i/>
          <w:iCs/>
          <w:sz w:val="18"/>
          <w:szCs w:val="18"/>
        </w:rPr>
        <w:t>Fidelity</w:t>
      </w:r>
      <w:proofErr w:type="spellEnd"/>
      <w:r w:rsidRPr="00080A22">
        <w:rPr>
          <w:i/>
          <w:iCs/>
          <w:sz w:val="18"/>
          <w:szCs w:val="18"/>
        </w:rPr>
        <w:t xml:space="preserve"> International, </w:t>
      </w:r>
      <w:proofErr w:type="spellStart"/>
      <w:r w:rsidRPr="00080A22">
        <w:rPr>
          <w:i/>
          <w:iCs/>
          <w:sz w:val="18"/>
          <w:szCs w:val="18"/>
        </w:rPr>
        <w:t>YouGov</w:t>
      </w:r>
      <w:proofErr w:type="spellEnd"/>
      <w:r w:rsidRPr="00080A22">
        <w:rPr>
          <w:i/>
          <w:iCs/>
          <w:sz w:val="18"/>
          <w:szCs w:val="18"/>
        </w:rPr>
        <w:t>, červenec 2024. Procenta jsou zaokrouhlena na celá čísla.</w:t>
      </w:r>
    </w:p>
    <w:p w14:paraId="435825B5" w14:textId="77777777" w:rsidR="00AA03B1" w:rsidRPr="00AA03B1" w:rsidRDefault="00AA03B1" w:rsidP="00650A33">
      <w:pPr>
        <w:rPr>
          <w:rFonts w:asciiTheme="minorHAnsi" w:hAnsiTheme="minorHAnsi" w:cstheme="minorHAnsi"/>
          <w:b/>
          <w:bCs/>
          <w:sz w:val="24"/>
          <w:szCs w:val="24"/>
        </w:rPr>
      </w:pPr>
      <w:r w:rsidRPr="00AA03B1">
        <w:rPr>
          <w:rFonts w:asciiTheme="minorHAnsi" w:hAnsiTheme="minorHAnsi" w:cstheme="minorHAnsi"/>
          <w:b/>
          <w:bCs/>
          <w:sz w:val="24"/>
          <w:szCs w:val="24"/>
        </w:rPr>
        <w:t>Poměr ceny a kvality</w:t>
      </w:r>
    </w:p>
    <w:p w14:paraId="21D8066E" w14:textId="20D608EE" w:rsidR="00650A33" w:rsidRPr="00AA03B1" w:rsidRDefault="00AA03B1" w:rsidP="00650A33">
      <w:r>
        <w:rPr>
          <w:color w:val="20242B"/>
          <w:shd w:val="clear" w:color="auto" w:fill="FFFFFF"/>
        </w:rPr>
        <w:t xml:space="preserve">Přehřáté valuace by samy o sobě neměly odradit asijské investory </w:t>
      </w:r>
      <w:r w:rsidRPr="00AA03B1">
        <w:rPr>
          <w:color w:val="20242B"/>
          <w:shd w:val="clear" w:color="auto" w:fill="FFFFFF"/>
        </w:rPr>
        <w:t>od získání expozice v USA (některé společnosti si své drahé ceny zaslouží). Měla by je však povzbudit k širšímu hledání levnějších alternativ: hlavních trhů, kde je pesimismus možná přehnaný a kvalitní společnosti se obchodují se slevou.</w:t>
      </w:r>
    </w:p>
    <w:p w14:paraId="1063822F" w14:textId="1D4FA5BC" w:rsidR="00AA03B1" w:rsidRDefault="00AA03B1" w:rsidP="00AA03B1">
      <w:pPr>
        <w:rPr>
          <w:color w:val="20242B"/>
          <w:shd w:val="clear" w:color="auto" w:fill="FFFFFF"/>
        </w:rPr>
      </w:pPr>
      <w:r w:rsidRPr="00AA03B1">
        <w:rPr>
          <w:color w:val="20242B"/>
          <w:shd w:val="clear" w:color="auto" w:fill="FFFFFF"/>
        </w:rPr>
        <w:t>Jasným kandidátem je Čína. Někteří investoři jsou skeptičtí k tamním akciím, protože ekonomika neroste tak rychle jako dřív. To je však přirozený důsledek probíhajícího přechodu Číny – od vysokého růstu k růstu kvalitnímu. Dlouhodobí investoři by měli oslavovat to, že hospodářský růst stoupá díky několika různým hybatelům v množství odvětví, místo aby vkládali veškeré naděje do nemovitostí. Politické autority posilují podporu, aby stabilizovali ekonomiku. Třetí červencové plénum tak bylo rychle následováno nečekaným snížením úrokových sazeb.</w:t>
      </w:r>
    </w:p>
    <w:p w14:paraId="52F71AB2" w14:textId="77777777" w:rsidR="00AA03B1" w:rsidRPr="00AA03B1" w:rsidRDefault="00AA03B1" w:rsidP="00AA03B1">
      <w:pPr>
        <w:rPr>
          <w:color w:val="20242B"/>
          <w:shd w:val="clear" w:color="auto" w:fill="FFFFFF"/>
        </w:rPr>
      </w:pPr>
      <w:r w:rsidRPr="00AA03B1">
        <w:rPr>
          <w:color w:val="20242B"/>
          <w:shd w:val="clear" w:color="auto" w:fill="FFFFFF"/>
        </w:rPr>
        <w:t>V každém případě není hospodářský růst pro akcie vším. Levná ocenění poskytují v Číně jistou bezpečnost, kterou mohou závidět investoři v USA, Evropě a Japonsku. Narazili jsme na padesát let staré společnosti, které se obchodují za pouhý čtyř – až pětinásobek P/E. Pomalejší růst HDP znamená, že slabší společnosti by měly ukončit činnost, například v přeplněném sektoru expresních dodávek, což zvýší atraktivitu lídrů v oboru. Těžké časy učí společnosti také větší odolnosti. Prozíravé spotřebitelské značky přežily díky tomu, že se přizpůsobily měnícímu se prostředí, a čínský demografický deficit podnítil inovace ve zdravotnictví. Očekávejte, že se objeví další vítězové v oblasti umělé inteligence a energetické transformace – a předběhnou ekonomiku.</w:t>
      </w:r>
    </w:p>
    <w:p w14:paraId="5F04B741" w14:textId="77777777" w:rsidR="00AA03B1" w:rsidRDefault="00AA03B1" w:rsidP="00AA03B1">
      <w:pPr>
        <w:pStyle w:val="F2-zkladn"/>
        <w:rPr>
          <w:color w:val="20242B"/>
          <w:shd w:val="clear" w:color="auto" w:fill="FFFFFF"/>
        </w:rPr>
      </w:pPr>
    </w:p>
    <w:p w14:paraId="787C4F10" w14:textId="77777777" w:rsidR="00AA03B1" w:rsidRPr="00AA03B1" w:rsidRDefault="00AA03B1" w:rsidP="00AA03B1">
      <w:pPr>
        <w:pStyle w:val="F2-zkladn"/>
        <w:rPr>
          <w:color w:val="20242B"/>
          <w:shd w:val="clear" w:color="auto" w:fill="FFFFFF"/>
        </w:rPr>
      </w:pPr>
    </w:p>
    <w:p w14:paraId="51F8D2DD" w14:textId="1D353B6C" w:rsidR="003E5C35" w:rsidRDefault="00AA03B1" w:rsidP="00650A33">
      <w:pPr>
        <w:spacing w:after="210" w:line="360" w:lineRule="auto"/>
        <w:rPr>
          <w:rFonts w:asciiTheme="minorHAnsi" w:hAnsiTheme="minorHAnsi" w:cstheme="minorHAnsi"/>
          <w:b/>
          <w:bCs/>
          <w:sz w:val="24"/>
          <w:szCs w:val="24"/>
        </w:rPr>
      </w:pPr>
      <w:r>
        <w:rPr>
          <w:rFonts w:asciiTheme="minorHAnsi" w:hAnsiTheme="minorHAnsi" w:cstheme="minorHAnsi"/>
          <w:b/>
          <w:bCs/>
          <w:sz w:val="24"/>
          <w:szCs w:val="24"/>
        </w:rPr>
        <w:lastRenderedPageBreak/>
        <w:t>Všude dobře</w:t>
      </w:r>
      <w:r w:rsidR="00297927">
        <w:rPr>
          <w:rFonts w:asciiTheme="minorHAnsi" w:hAnsiTheme="minorHAnsi" w:cstheme="minorHAnsi"/>
          <w:b/>
          <w:bCs/>
          <w:sz w:val="24"/>
          <w:szCs w:val="24"/>
        </w:rPr>
        <w:t>,</w:t>
      </w:r>
      <w:r>
        <w:rPr>
          <w:rFonts w:asciiTheme="minorHAnsi" w:hAnsiTheme="minorHAnsi" w:cstheme="minorHAnsi"/>
          <w:b/>
          <w:bCs/>
          <w:sz w:val="24"/>
          <w:szCs w:val="24"/>
        </w:rPr>
        <w:t xml:space="preserve"> doma nejlíp</w:t>
      </w:r>
    </w:p>
    <w:p w14:paraId="73A9E267" w14:textId="77777777" w:rsidR="00AA03B1" w:rsidRPr="00AA03B1" w:rsidRDefault="00AA03B1" w:rsidP="00AA03B1">
      <w:pPr>
        <w:rPr>
          <w:i/>
          <w:iCs/>
          <w:color w:val="20242B"/>
          <w:shd w:val="clear" w:color="auto" w:fill="FFFFFF"/>
        </w:rPr>
      </w:pPr>
      <w:r w:rsidRPr="00AA03B1">
        <w:rPr>
          <w:i/>
          <w:iCs/>
          <w:color w:val="20242B"/>
          <w:shd w:val="clear" w:color="auto" w:fill="FFFFFF"/>
        </w:rPr>
        <w:t xml:space="preserve">„Je přirozené, že investoři v Asii, kteří několik let seděli na penězích, jsou nyní v pokušení honit se za růstem za každou cenu, a to i na už drahých akciových trzích. Nemusí však obětovat příjem kvůli zhodnocení kapitálu. Rozvážnější strategie by mohla vyvážit globální růst s příjmy a zhodnocením z asijských trhů a zároveň zajistit jistou stabilitu, která je v nestálém světě stále důležitějším statkem. Pro asijské investory, kteří hledají něco nového, platí, že nejlépe je doma,“ </w:t>
      </w:r>
      <w:r w:rsidRPr="00AA03B1">
        <w:rPr>
          <w:color w:val="20242B"/>
          <w:shd w:val="clear" w:color="auto" w:fill="FFFFFF"/>
        </w:rPr>
        <w:t xml:space="preserve">uzavírá Martin </w:t>
      </w:r>
      <w:proofErr w:type="spellStart"/>
      <w:r w:rsidRPr="00AA03B1">
        <w:rPr>
          <w:color w:val="20242B"/>
          <w:shd w:val="clear" w:color="auto" w:fill="FFFFFF"/>
        </w:rPr>
        <w:t>Dropkin</w:t>
      </w:r>
      <w:proofErr w:type="spellEnd"/>
      <w:r w:rsidRPr="00AA03B1">
        <w:rPr>
          <w:color w:val="20242B"/>
          <w:shd w:val="clear" w:color="auto" w:fill="FFFFFF"/>
        </w:rPr>
        <w:t>.</w:t>
      </w:r>
    </w:p>
    <w:p w14:paraId="61E8EEEF" w14:textId="77777777" w:rsidR="00650A33" w:rsidRPr="00650A33" w:rsidRDefault="00650A33" w:rsidP="00650A33">
      <w:pPr>
        <w:pStyle w:val="F2-zkladn"/>
      </w:pPr>
    </w:p>
    <w:p w14:paraId="1949B84A" w14:textId="55C844F2" w:rsidR="006F508D" w:rsidRDefault="006F508D" w:rsidP="002027ED">
      <w:pPr>
        <w:spacing w:before="0" w:line="240" w:lineRule="atLeast"/>
        <w:rPr>
          <w:b/>
        </w:rPr>
      </w:pPr>
    </w:p>
    <w:p w14:paraId="79C0EF45" w14:textId="77777777" w:rsidR="00B14448" w:rsidRDefault="006F508D" w:rsidP="002027ED">
      <w:pPr>
        <w:spacing w:before="0" w:line="240" w:lineRule="atLeast"/>
        <w:rPr>
          <w:b/>
        </w:rPr>
      </w:pPr>
      <w:r w:rsidRPr="00455A3C">
        <w:rPr>
          <w:b/>
        </w:rPr>
        <w:t>Pro více informací kontaktujte:</w:t>
      </w:r>
    </w:p>
    <w:p w14:paraId="57E4691D" w14:textId="79A81523" w:rsidR="00725052" w:rsidRDefault="00725052" w:rsidP="002027ED">
      <w:pPr>
        <w:spacing w:before="0" w:line="240" w:lineRule="atLeast"/>
        <w:rPr>
          <w:b/>
        </w:rPr>
      </w:pPr>
      <w:r>
        <w:rPr>
          <w:b/>
        </w:rPr>
        <w:t>Eliška Krohová</w:t>
      </w:r>
    </w:p>
    <w:p w14:paraId="70A16562" w14:textId="14B99F34" w:rsidR="00725052" w:rsidRPr="00455A3C" w:rsidRDefault="00725052" w:rsidP="002027ED">
      <w:pPr>
        <w:spacing w:before="0" w:line="240" w:lineRule="atLeast"/>
        <w:rPr>
          <w:b/>
          <w:bCs/>
        </w:rPr>
      </w:pPr>
      <w:proofErr w:type="spellStart"/>
      <w:r w:rsidRPr="00455A3C">
        <w:rPr>
          <w:b/>
          <w:bCs/>
        </w:rPr>
        <w:t>Crest</w:t>
      </w:r>
      <w:proofErr w:type="spellEnd"/>
      <w:r w:rsidRPr="00455A3C">
        <w:rPr>
          <w:b/>
          <w:bCs/>
        </w:rPr>
        <w:t xml:space="preserve"> Communications, a.s.</w:t>
      </w:r>
    </w:p>
    <w:p w14:paraId="7ABB575C" w14:textId="41FADA76" w:rsidR="00725052" w:rsidRPr="00455A3C" w:rsidRDefault="00725052" w:rsidP="002027ED">
      <w:pPr>
        <w:spacing w:before="0" w:line="240" w:lineRule="atLeast"/>
      </w:pPr>
    </w:p>
    <w:p w14:paraId="001360E2" w14:textId="430BBD89" w:rsidR="00725052" w:rsidRPr="00455A3C" w:rsidRDefault="00725052" w:rsidP="002027ED">
      <w:pPr>
        <w:spacing w:before="0" w:line="240" w:lineRule="atLeast"/>
      </w:pPr>
      <w:r w:rsidRPr="00455A3C">
        <w:t>Ostrovní 126/30</w:t>
      </w:r>
    </w:p>
    <w:p w14:paraId="02786658" w14:textId="0E6E6510" w:rsidR="00725052" w:rsidRPr="00455A3C" w:rsidRDefault="00725052" w:rsidP="002027ED">
      <w:pPr>
        <w:spacing w:before="0" w:line="240" w:lineRule="atLeast"/>
      </w:pPr>
      <w:r w:rsidRPr="00455A3C">
        <w:t>110 00 Praha 1</w:t>
      </w:r>
    </w:p>
    <w:p w14:paraId="5FFADFD6" w14:textId="77777777" w:rsidR="00725052" w:rsidRPr="00455A3C" w:rsidRDefault="00725052" w:rsidP="002027ED">
      <w:pPr>
        <w:spacing w:before="0" w:line="240" w:lineRule="atLeast"/>
      </w:pPr>
      <w:proofErr w:type="spellStart"/>
      <w:r>
        <w:t>gsm</w:t>
      </w:r>
      <w:proofErr w:type="spellEnd"/>
      <w:r>
        <w:t>: + 420 720 406 659</w:t>
      </w:r>
    </w:p>
    <w:p w14:paraId="366A0022" w14:textId="77777777" w:rsidR="000E2910" w:rsidRDefault="00725052" w:rsidP="002027ED">
      <w:pPr>
        <w:spacing w:before="0" w:line="240" w:lineRule="atLeast"/>
        <w:rPr>
          <w:rStyle w:val="Hypertextovodkaz"/>
        </w:rPr>
      </w:pPr>
      <w:r w:rsidRPr="00455A3C">
        <w:rPr>
          <w:color w:val="000000"/>
        </w:rPr>
        <w:t xml:space="preserve">e-mail: </w:t>
      </w:r>
      <w:hyperlink r:id="rId14" w:history="1">
        <w:r w:rsidRPr="00E23FD4">
          <w:rPr>
            <w:rStyle w:val="Hypertextovodkaz"/>
          </w:rPr>
          <w:t>eliska.krohova@crestcom.cz</w:t>
        </w:r>
      </w:hyperlink>
    </w:p>
    <w:p w14:paraId="1B93F57D" w14:textId="77777777" w:rsidR="005A5AB1" w:rsidRPr="005A5AB1" w:rsidRDefault="005A5AB1" w:rsidP="002027ED">
      <w:pPr>
        <w:pStyle w:val="F2-zkladn"/>
      </w:pPr>
    </w:p>
    <w:p w14:paraId="163D8DC9"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52751589" w14:textId="77777777" w:rsidR="006E78BA" w:rsidRPr="0015633B" w:rsidRDefault="00D404D5" w:rsidP="0015633B">
      <w:pPr>
        <w:shd w:val="clear" w:color="auto" w:fill="FFFFFF"/>
        <w:spacing w:before="0" w:line="360" w:lineRule="atLeast"/>
        <w:rPr>
          <w:color w:val="000000"/>
          <w:lang w:eastAsia="en-US"/>
        </w:rPr>
      </w:pPr>
      <w:r w:rsidRPr="00D404D5">
        <w:rPr>
          <w:b/>
          <w:bCs/>
        </w:rPr>
        <w:t>Fidelity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a globálně pro klienty investovala 290 mld. USD ve 25 zemích napříč Evropou, Asií, Tichomořím, středním Východem a jižní Amerikou. V České republice Fidelity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70C8077A" w14:textId="77777777" w:rsidR="006E78BA" w:rsidRPr="006E78BA" w:rsidRDefault="006E78BA" w:rsidP="006E78BA">
      <w:pPr>
        <w:pStyle w:val="F2-zkladn"/>
        <w:rPr>
          <w:lang w:eastAsia="en-US"/>
        </w:rPr>
      </w:pPr>
    </w:p>
    <w:p w14:paraId="44D3C3F0" w14:textId="77777777" w:rsidR="00424771" w:rsidRPr="00424771" w:rsidRDefault="00424771" w:rsidP="002027ED">
      <w:pPr>
        <w:pStyle w:val="F2-zkladn"/>
        <w:rPr>
          <w:b/>
          <w:bCs/>
        </w:rPr>
      </w:pPr>
      <w:r w:rsidRPr="00424771">
        <w:rPr>
          <w:b/>
          <w:bCs/>
        </w:rPr>
        <w:t>Důležité upozornění</w:t>
      </w:r>
    </w:p>
    <w:p w14:paraId="0B10A854" w14:textId="77777777" w:rsidR="00424771" w:rsidRDefault="00424771" w:rsidP="002027ED">
      <w:pPr>
        <w:pStyle w:val="F2-zkladn"/>
      </w:pPr>
      <w:r>
        <w:t>Toto je propagační materiál. Tento dokument nesmí být bez předchozího souhlasu rozmnožován nebo rozšiřován.</w:t>
      </w:r>
    </w:p>
    <w:p w14:paraId="191665B3" w14:textId="77777777" w:rsidR="00424771" w:rsidRDefault="00424771" w:rsidP="002027ED">
      <w:pPr>
        <w:pStyle w:val="F2-zkladn"/>
      </w:pPr>
      <w:r>
        <w:t>Fidelity International poskytuje informace pouze o svých produktech a neposkytuje investiční poradenství na základě individuálních potřeb, jinak než konkrétně řádně stanovené oprávněnou společností při formální komunikaci s klientem.</w:t>
      </w:r>
    </w:p>
    <w:p w14:paraId="0B484CF0" w14:textId="77777777" w:rsidR="00424771" w:rsidRDefault="00424771" w:rsidP="002027ED">
      <w:pPr>
        <w:pStyle w:val="F2-zkladn"/>
      </w:pPr>
      <w:r>
        <w:lastRenderedPageBreak/>
        <w:t>Jako Fidelity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6FBC3C8C" w14:textId="77777777" w:rsidR="00424771" w:rsidRDefault="00424771" w:rsidP="002027ED">
      <w:pPr>
        <w:pStyle w:val="F2-zkladn"/>
      </w:pPr>
      <w:r>
        <w:t>Všechny názory představují stanoviska společnosti Fidelity, není-li uvedeno jinak. Fidelity, Fidelity International a logo Fidelity International a symbol měny F jsou všechno ochrannými známkami společnosti FIL Limited.</w:t>
      </w:r>
    </w:p>
    <w:p w14:paraId="236BAAE4" w14:textId="77777777" w:rsidR="00424771" w:rsidRDefault="00424771" w:rsidP="002027ED">
      <w:pPr>
        <w:pStyle w:val="F2-zkladn"/>
      </w:pPr>
      <w:r>
        <w:t>Tento dokument nepředstavuje distribuci, nabídku nebo výzvu k využití služeb investiční správy společnosti Fidelity, ani nabídku ke koupi, prodeji nebo výzvu k nabídce ke koupi nebo prodeji jakýchkoli cenných papírů v jakékoli jurisdikci nebo zemi, kde taková distribuce nebo nabídka není povolena či by byla v rozporu s místními zákony nebo předpisy.</w:t>
      </w:r>
    </w:p>
    <w:p w14:paraId="7487B32F" w14:textId="77777777" w:rsidR="00424771" w:rsidRDefault="00424771" w:rsidP="002027ED">
      <w:pPr>
        <w:pStyle w:val="F2-zkladn"/>
      </w:pPr>
      <w:r>
        <w:t>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Fidelity již mohla jednat. Průzkumy a analýzy použité v této dokumentaci shromažďuje společnost Fidelity pro své potřeby správce investic a je možné, že podle nich již bylo postupováno pro její vlastní účely. Tento materiál byl vytvořen společností Fidelity International.</w:t>
      </w:r>
    </w:p>
    <w:p w14:paraId="14F2016C" w14:textId="77777777" w:rsidR="00424771" w:rsidRDefault="00424771" w:rsidP="002027ED">
      <w:pPr>
        <w:pStyle w:val="F2-zkladn"/>
      </w:pPr>
      <w:r>
        <w:t>Minulá výkonnost není spolehlivým ukazatelem budoucích výsledků.</w:t>
      </w:r>
    </w:p>
    <w:p w14:paraId="232D3CB7" w14:textId="77777777" w:rsidR="00424771" w:rsidRDefault="00424771" w:rsidP="002027ED">
      <w:pPr>
        <w:pStyle w:val="F2-zkladn"/>
      </w:pPr>
      <w:r>
        <w:t>Tento dokument může obsahovat materiály třetích stran, které jsou dodávány společnostmi, jež nejsou spojeny s žádným subjektem Fidelity (obsah třetích stran). Společnost Fidelity se nepodílela na přípravě, přijetí ani úpravě takových materiálů třetích stran a výslovně ani implicitně takový obsah neschvaluje ani nepodporovala.</w:t>
      </w:r>
    </w:p>
    <w:p w14:paraId="197EFFF7"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382E6526" w14:textId="77777777" w:rsidR="00424771" w:rsidRDefault="00424771" w:rsidP="002027ED">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66EB220B" w14:textId="77777777"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1010ED4C" w14:textId="2F014BE4" w:rsidR="00D20058" w:rsidRDefault="00D20058" w:rsidP="002027ED">
      <w:pPr>
        <w:pStyle w:val="F2-zkladn"/>
      </w:pPr>
      <w:r w:rsidRPr="00D20058">
        <w:rPr>
          <w:lang w:val="de-AT"/>
        </w:rPr>
        <w:t>MKAT12468</w:t>
      </w:r>
    </w:p>
    <w:sectPr w:rsidR="00D20058" w:rsidSect="00F50497">
      <w:headerReference w:type="default" r:id="rId15"/>
      <w:footerReference w:type="default" r:id="rId16"/>
      <w:headerReference w:type="first" r:id="rId17"/>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ED275" w14:textId="77777777" w:rsidR="0062230F" w:rsidRDefault="0062230F">
      <w:r>
        <w:separator/>
      </w:r>
    </w:p>
  </w:endnote>
  <w:endnote w:type="continuationSeparator" w:id="0">
    <w:p w14:paraId="7987D19C" w14:textId="77777777" w:rsidR="0062230F" w:rsidRDefault="0062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DFC23"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2DDC6" w14:textId="77777777" w:rsidR="0062230F" w:rsidRDefault="0062230F">
      <w:r>
        <w:separator/>
      </w:r>
    </w:p>
  </w:footnote>
  <w:footnote w:type="continuationSeparator" w:id="0">
    <w:p w14:paraId="7C028559" w14:textId="77777777" w:rsidR="0062230F" w:rsidRDefault="0062230F">
      <w:r>
        <w:continuationSeparator/>
      </w:r>
    </w:p>
  </w:footnote>
  <w:footnote w:type="continuationNotice" w:id="1">
    <w:p w14:paraId="4E6349F7" w14:textId="77777777" w:rsidR="0062230F" w:rsidRDefault="006223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E985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1E33B" w14:textId="77777777" w:rsidR="001D1343" w:rsidRDefault="0018797C">
    <w:pPr>
      <w:pStyle w:val="Zhlav"/>
    </w:pPr>
    <w:r>
      <w:rPr>
        <w:noProof/>
      </w:rPr>
      <w:drawing>
        <wp:anchor distT="0" distB="0" distL="114300" distR="114300" simplePos="0" relativeHeight="251657728" behindDoc="0" locked="0" layoutInCell="1" allowOverlap="1" wp14:anchorId="72926C4F" wp14:editId="7652070F">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4CA704D5" w14:textId="77777777" w:rsidR="001D1343" w:rsidRDefault="001D1343">
    <w:pPr>
      <w:pStyle w:val="Zhlav"/>
    </w:pPr>
  </w:p>
  <w:p w14:paraId="3E713446"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9A0F82A"/>
    <w:lvl w:ilvl="0">
      <w:start w:val="1"/>
      <w:numFmt w:val="decimal"/>
      <w:pStyle w:val="slovanseznam5"/>
      <w:lvlText w:val="%1."/>
      <w:lvlJc w:val="left"/>
      <w:pPr>
        <w:tabs>
          <w:tab w:val="num" w:pos="1983"/>
        </w:tabs>
        <w:ind w:left="1983"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FCA78F7"/>
    <w:multiLevelType w:val="multilevel"/>
    <w:tmpl w:val="EAEC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6AC0403"/>
    <w:multiLevelType w:val="multilevel"/>
    <w:tmpl w:val="3ABA5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8" w15:restartNumberingAfterBreak="0">
    <w:nsid w:val="1945158C"/>
    <w:multiLevelType w:val="hybridMultilevel"/>
    <w:tmpl w:val="357AF544"/>
    <w:lvl w:ilvl="0" w:tplc="D1289D8A">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2" w15:restartNumberingAfterBreak="0">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3"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9903D7F"/>
    <w:multiLevelType w:val="hybridMultilevel"/>
    <w:tmpl w:val="EA94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3A7E26E6"/>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0CE70FD"/>
    <w:multiLevelType w:val="multilevel"/>
    <w:tmpl w:val="BEE4D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A3345E3"/>
    <w:multiLevelType w:val="hybridMultilevel"/>
    <w:tmpl w:val="21E01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2" w15:restartNumberingAfterBreak="0">
    <w:nsid w:val="5BCB4766"/>
    <w:multiLevelType w:val="hybridMultilevel"/>
    <w:tmpl w:val="AE3A7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34" w15:restartNumberingAfterBreak="0">
    <w:nsid w:val="606F6068"/>
    <w:multiLevelType w:val="hybridMultilevel"/>
    <w:tmpl w:val="DEEC8720"/>
    <w:lvl w:ilvl="0" w:tplc="7CE61EC6">
      <w:start w:val="1"/>
      <w:numFmt w:val="decimal"/>
      <w:lvlText w:val="%1."/>
      <w:lvlJc w:val="left"/>
      <w:pPr>
        <w:ind w:left="720" w:hanging="360"/>
      </w:pPr>
      <w:rPr>
        <w:rFonts w:ascii="Arial" w:hAnsi="Arial" w:cs="Arial" w:hint="default"/>
        <w:b/>
        <w:bCs w:val="0"/>
        <w:i w:val="0"/>
        <w:iCs/>
        <w:color w:val="20242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3213CC3"/>
    <w:multiLevelType w:val="hybridMultilevel"/>
    <w:tmpl w:val="C7129A1A"/>
    <w:lvl w:ilvl="0" w:tplc="6EF2DDCE">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6226CD4"/>
    <w:multiLevelType w:val="multilevel"/>
    <w:tmpl w:val="61EAA9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9" w15:restartNumberingAfterBreak="0">
    <w:nsid w:val="71A10DC4"/>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5BA2421"/>
    <w:multiLevelType w:val="hybridMultilevel"/>
    <w:tmpl w:val="46A207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2" w15:restartNumberingAfterBreak="0">
    <w:nsid w:val="76F14F4F"/>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C644AB6"/>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43033605">
    <w:abstractNumId w:val="17"/>
  </w:num>
  <w:num w:numId="2" w16cid:durableId="146671352">
    <w:abstractNumId w:val="33"/>
  </w:num>
  <w:num w:numId="3" w16cid:durableId="1266381172">
    <w:abstractNumId w:val="40"/>
  </w:num>
  <w:num w:numId="4" w16cid:durableId="1719279861">
    <w:abstractNumId w:val="23"/>
  </w:num>
  <w:num w:numId="5" w16cid:durableId="118620334">
    <w:abstractNumId w:val="25"/>
  </w:num>
  <w:num w:numId="6" w16cid:durableId="1824814676">
    <w:abstractNumId w:val="21"/>
  </w:num>
  <w:num w:numId="7" w16cid:durableId="1926299718">
    <w:abstractNumId w:val="38"/>
  </w:num>
  <w:num w:numId="8" w16cid:durableId="1498184102">
    <w:abstractNumId w:val="27"/>
  </w:num>
  <w:num w:numId="9" w16cid:durableId="1449929593">
    <w:abstractNumId w:val="8"/>
  </w:num>
  <w:num w:numId="10" w16cid:durableId="773866738">
    <w:abstractNumId w:val="3"/>
  </w:num>
  <w:num w:numId="11" w16cid:durableId="2086536223">
    <w:abstractNumId w:val="2"/>
  </w:num>
  <w:num w:numId="12" w16cid:durableId="318927783">
    <w:abstractNumId w:val="1"/>
  </w:num>
  <w:num w:numId="13" w16cid:durableId="1092429139">
    <w:abstractNumId w:val="0"/>
  </w:num>
  <w:num w:numId="14" w16cid:durableId="1555390236">
    <w:abstractNumId w:val="11"/>
  </w:num>
  <w:num w:numId="15" w16cid:durableId="422386552">
    <w:abstractNumId w:val="9"/>
  </w:num>
  <w:num w:numId="16" w16cid:durableId="167907336">
    <w:abstractNumId w:val="7"/>
  </w:num>
  <w:num w:numId="17" w16cid:durableId="1887527175">
    <w:abstractNumId w:val="6"/>
  </w:num>
  <w:num w:numId="18" w16cid:durableId="2091191755">
    <w:abstractNumId w:val="5"/>
  </w:num>
  <w:num w:numId="19" w16cid:durableId="626397989">
    <w:abstractNumId w:val="4"/>
  </w:num>
  <w:num w:numId="20" w16cid:durableId="803893251">
    <w:abstractNumId w:val="15"/>
  </w:num>
  <w:num w:numId="21" w16cid:durableId="1100370002">
    <w:abstractNumId w:val="31"/>
  </w:num>
  <w:num w:numId="22" w16cid:durableId="2069836537">
    <w:abstractNumId w:val="12"/>
  </w:num>
  <w:num w:numId="23" w16cid:durableId="1663701074">
    <w:abstractNumId w:val="10"/>
  </w:num>
  <w:num w:numId="24" w16cid:durableId="661811107">
    <w:abstractNumId w:val="13"/>
  </w:num>
  <w:num w:numId="25" w16cid:durableId="367528897">
    <w:abstractNumId w:val="19"/>
  </w:num>
  <w:num w:numId="26" w16cid:durableId="66655553">
    <w:abstractNumId w:val="37"/>
  </w:num>
  <w:num w:numId="27" w16cid:durableId="1412049229">
    <w:abstractNumId w:val="30"/>
  </w:num>
  <w:num w:numId="28" w16cid:durableId="1854563770">
    <w:abstractNumId w:val="20"/>
  </w:num>
  <w:num w:numId="29" w16cid:durableId="1511022718">
    <w:abstractNumId w:val="22"/>
  </w:num>
  <w:num w:numId="30" w16cid:durableId="189878341">
    <w:abstractNumId w:val="24"/>
  </w:num>
  <w:num w:numId="31" w16cid:durableId="408891146">
    <w:abstractNumId w:val="32"/>
  </w:num>
  <w:num w:numId="32" w16cid:durableId="668292118">
    <w:abstractNumId w:val="41"/>
  </w:num>
  <w:num w:numId="33" w16cid:durableId="1545678938">
    <w:abstractNumId w:val="29"/>
  </w:num>
  <w:num w:numId="34" w16cid:durableId="334190881">
    <w:abstractNumId w:val="39"/>
  </w:num>
  <w:num w:numId="35" w16cid:durableId="867832294">
    <w:abstractNumId w:val="43"/>
  </w:num>
  <w:num w:numId="36" w16cid:durableId="1707019958">
    <w:abstractNumId w:val="14"/>
  </w:num>
  <w:num w:numId="37" w16cid:durableId="1229464119">
    <w:abstractNumId w:val="36"/>
  </w:num>
  <w:num w:numId="38" w16cid:durableId="1404453976">
    <w:abstractNumId w:val="16"/>
  </w:num>
  <w:num w:numId="39" w16cid:durableId="639572714">
    <w:abstractNumId w:val="28"/>
  </w:num>
  <w:num w:numId="40" w16cid:durableId="1181239656">
    <w:abstractNumId w:val="34"/>
  </w:num>
  <w:num w:numId="41" w16cid:durableId="1776094729">
    <w:abstractNumId w:val="42"/>
  </w:num>
  <w:num w:numId="42" w16cid:durableId="58788658">
    <w:abstractNumId w:val="26"/>
  </w:num>
  <w:num w:numId="43" w16cid:durableId="1389382411">
    <w:abstractNumId w:val="35"/>
  </w:num>
  <w:num w:numId="44" w16cid:durableId="608975387">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E35"/>
    <w:rsid w:val="00011BEC"/>
    <w:rsid w:val="00013232"/>
    <w:rsid w:val="00016492"/>
    <w:rsid w:val="00017E0A"/>
    <w:rsid w:val="00020F03"/>
    <w:rsid w:val="00021D97"/>
    <w:rsid w:val="0002277D"/>
    <w:rsid w:val="000237A9"/>
    <w:rsid w:val="00026B23"/>
    <w:rsid w:val="00026F85"/>
    <w:rsid w:val="000326E4"/>
    <w:rsid w:val="00032CD3"/>
    <w:rsid w:val="00033378"/>
    <w:rsid w:val="000348FD"/>
    <w:rsid w:val="0003583E"/>
    <w:rsid w:val="00035DD6"/>
    <w:rsid w:val="000363FF"/>
    <w:rsid w:val="000378F9"/>
    <w:rsid w:val="00040650"/>
    <w:rsid w:val="00040CE8"/>
    <w:rsid w:val="00040DEC"/>
    <w:rsid w:val="00041B2D"/>
    <w:rsid w:val="000452CD"/>
    <w:rsid w:val="00045D38"/>
    <w:rsid w:val="00047030"/>
    <w:rsid w:val="00047888"/>
    <w:rsid w:val="00047D97"/>
    <w:rsid w:val="00047F54"/>
    <w:rsid w:val="000502C0"/>
    <w:rsid w:val="00050575"/>
    <w:rsid w:val="00052178"/>
    <w:rsid w:val="0005404F"/>
    <w:rsid w:val="00054FEF"/>
    <w:rsid w:val="000564A3"/>
    <w:rsid w:val="00061775"/>
    <w:rsid w:val="00062BEA"/>
    <w:rsid w:val="00063F4E"/>
    <w:rsid w:val="00065B2F"/>
    <w:rsid w:val="000667E6"/>
    <w:rsid w:val="000702F0"/>
    <w:rsid w:val="0007034E"/>
    <w:rsid w:val="0007090F"/>
    <w:rsid w:val="00070C89"/>
    <w:rsid w:val="00071169"/>
    <w:rsid w:val="0007145D"/>
    <w:rsid w:val="00073A88"/>
    <w:rsid w:val="00073CAB"/>
    <w:rsid w:val="00073D6F"/>
    <w:rsid w:val="000755DF"/>
    <w:rsid w:val="000763EB"/>
    <w:rsid w:val="000766BF"/>
    <w:rsid w:val="0007674D"/>
    <w:rsid w:val="000767DF"/>
    <w:rsid w:val="00076A25"/>
    <w:rsid w:val="00076A2B"/>
    <w:rsid w:val="00080750"/>
    <w:rsid w:val="00080A22"/>
    <w:rsid w:val="00081DCE"/>
    <w:rsid w:val="00084075"/>
    <w:rsid w:val="00091210"/>
    <w:rsid w:val="00092137"/>
    <w:rsid w:val="000923E4"/>
    <w:rsid w:val="00093200"/>
    <w:rsid w:val="00093C6A"/>
    <w:rsid w:val="00093E98"/>
    <w:rsid w:val="000940D0"/>
    <w:rsid w:val="000A0176"/>
    <w:rsid w:val="000A06A7"/>
    <w:rsid w:val="000A2833"/>
    <w:rsid w:val="000A2D6F"/>
    <w:rsid w:val="000A3FFF"/>
    <w:rsid w:val="000A572D"/>
    <w:rsid w:val="000A5FDF"/>
    <w:rsid w:val="000A73CB"/>
    <w:rsid w:val="000A755E"/>
    <w:rsid w:val="000B0FBB"/>
    <w:rsid w:val="000B2222"/>
    <w:rsid w:val="000B2426"/>
    <w:rsid w:val="000B39A5"/>
    <w:rsid w:val="000B51E9"/>
    <w:rsid w:val="000B579C"/>
    <w:rsid w:val="000B57A2"/>
    <w:rsid w:val="000B5A2B"/>
    <w:rsid w:val="000C0E0E"/>
    <w:rsid w:val="000C17C8"/>
    <w:rsid w:val="000C34DC"/>
    <w:rsid w:val="000C4D6D"/>
    <w:rsid w:val="000C5471"/>
    <w:rsid w:val="000C727D"/>
    <w:rsid w:val="000C772F"/>
    <w:rsid w:val="000D25CC"/>
    <w:rsid w:val="000D3C66"/>
    <w:rsid w:val="000D5282"/>
    <w:rsid w:val="000D580F"/>
    <w:rsid w:val="000E0C24"/>
    <w:rsid w:val="000E2910"/>
    <w:rsid w:val="000E3678"/>
    <w:rsid w:val="000E3D98"/>
    <w:rsid w:val="000E42A1"/>
    <w:rsid w:val="000E4ADE"/>
    <w:rsid w:val="000E5D25"/>
    <w:rsid w:val="000E7127"/>
    <w:rsid w:val="000E7418"/>
    <w:rsid w:val="000F02A2"/>
    <w:rsid w:val="000F0587"/>
    <w:rsid w:val="000F1AE6"/>
    <w:rsid w:val="000F2443"/>
    <w:rsid w:val="000F274E"/>
    <w:rsid w:val="000F27E1"/>
    <w:rsid w:val="000F330C"/>
    <w:rsid w:val="000F4953"/>
    <w:rsid w:val="000F5A28"/>
    <w:rsid w:val="000F5BBC"/>
    <w:rsid w:val="000F687B"/>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D27"/>
    <w:rsid w:val="0012091C"/>
    <w:rsid w:val="00121FAB"/>
    <w:rsid w:val="0012308F"/>
    <w:rsid w:val="00126B10"/>
    <w:rsid w:val="00127396"/>
    <w:rsid w:val="00130E22"/>
    <w:rsid w:val="00131E29"/>
    <w:rsid w:val="00134A55"/>
    <w:rsid w:val="00137FDE"/>
    <w:rsid w:val="00140F96"/>
    <w:rsid w:val="00141CF1"/>
    <w:rsid w:val="0014300F"/>
    <w:rsid w:val="001443DF"/>
    <w:rsid w:val="001444EC"/>
    <w:rsid w:val="00145F9D"/>
    <w:rsid w:val="001462C0"/>
    <w:rsid w:val="00146942"/>
    <w:rsid w:val="00146BBC"/>
    <w:rsid w:val="001511F4"/>
    <w:rsid w:val="001522B5"/>
    <w:rsid w:val="00153D75"/>
    <w:rsid w:val="00153FD1"/>
    <w:rsid w:val="00154C56"/>
    <w:rsid w:val="00154D3A"/>
    <w:rsid w:val="0015633B"/>
    <w:rsid w:val="00160EB2"/>
    <w:rsid w:val="00161993"/>
    <w:rsid w:val="001628BC"/>
    <w:rsid w:val="0016361E"/>
    <w:rsid w:val="00165789"/>
    <w:rsid w:val="0016695F"/>
    <w:rsid w:val="00170309"/>
    <w:rsid w:val="00170DE1"/>
    <w:rsid w:val="001715D9"/>
    <w:rsid w:val="00172511"/>
    <w:rsid w:val="00172F1C"/>
    <w:rsid w:val="0017506A"/>
    <w:rsid w:val="00175577"/>
    <w:rsid w:val="00177E1C"/>
    <w:rsid w:val="00177E5E"/>
    <w:rsid w:val="0018406F"/>
    <w:rsid w:val="00184F14"/>
    <w:rsid w:val="0018525E"/>
    <w:rsid w:val="0018729B"/>
    <w:rsid w:val="0018797C"/>
    <w:rsid w:val="00191AE8"/>
    <w:rsid w:val="00193268"/>
    <w:rsid w:val="00193655"/>
    <w:rsid w:val="00193CC3"/>
    <w:rsid w:val="00194285"/>
    <w:rsid w:val="00194945"/>
    <w:rsid w:val="001956CF"/>
    <w:rsid w:val="001970D7"/>
    <w:rsid w:val="00197E01"/>
    <w:rsid w:val="001A085A"/>
    <w:rsid w:val="001A0CB6"/>
    <w:rsid w:val="001A1B9B"/>
    <w:rsid w:val="001A3CA7"/>
    <w:rsid w:val="001A4AA9"/>
    <w:rsid w:val="001A68C4"/>
    <w:rsid w:val="001A6ED5"/>
    <w:rsid w:val="001A74F2"/>
    <w:rsid w:val="001A7D5A"/>
    <w:rsid w:val="001A7DE3"/>
    <w:rsid w:val="001B0302"/>
    <w:rsid w:val="001B19BC"/>
    <w:rsid w:val="001B1BBD"/>
    <w:rsid w:val="001B23C8"/>
    <w:rsid w:val="001B2BE9"/>
    <w:rsid w:val="001B306F"/>
    <w:rsid w:val="001B353C"/>
    <w:rsid w:val="001B489F"/>
    <w:rsid w:val="001B69B7"/>
    <w:rsid w:val="001C02E6"/>
    <w:rsid w:val="001C21DF"/>
    <w:rsid w:val="001C4F9E"/>
    <w:rsid w:val="001C5A91"/>
    <w:rsid w:val="001C5DB0"/>
    <w:rsid w:val="001C6F31"/>
    <w:rsid w:val="001D032B"/>
    <w:rsid w:val="001D0D99"/>
    <w:rsid w:val="001D1225"/>
    <w:rsid w:val="001D1343"/>
    <w:rsid w:val="001D4B56"/>
    <w:rsid w:val="001D5163"/>
    <w:rsid w:val="001D7A7E"/>
    <w:rsid w:val="001E2936"/>
    <w:rsid w:val="001E2B0D"/>
    <w:rsid w:val="001E476B"/>
    <w:rsid w:val="001E507C"/>
    <w:rsid w:val="001E53EB"/>
    <w:rsid w:val="001E57AB"/>
    <w:rsid w:val="001E67FF"/>
    <w:rsid w:val="001E6C4F"/>
    <w:rsid w:val="001F1241"/>
    <w:rsid w:val="001F1A22"/>
    <w:rsid w:val="001F2C9A"/>
    <w:rsid w:val="001F4B06"/>
    <w:rsid w:val="001F5BD4"/>
    <w:rsid w:val="001F627F"/>
    <w:rsid w:val="001F65C1"/>
    <w:rsid w:val="002006D5"/>
    <w:rsid w:val="00201CD7"/>
    <w:rsid w:val="002027ED"/>
    <w:rsid w:val="00202F64"/>
    <w:rsid w:val="00203977"/>
    <w:rsid w:val="00206A9C"/>
    <w:rsid w:val="00210DA8"/>
    <w:rsid w:val="00210EEA"/>
    <w:rsid w:val="00212B9E"/>
    <w:rsid w:val="00212DDA"/>
    <w:rsid w:val="002147C4"/>
    <w:rsid w:val="00216EFA"/>
    <w:rsid w:val="0021765E"/>
    <w:rsid w:val="0021778F"/>
    <w:rsid w:val="00221643"/>
    <w:rsid w:val="00221EE4"/>
    <w:rsid w:val="002237EC"/>
    <w:rsid w:val="002241EE"/>
    <w:rsid w:val="00224347"/>
    <w:rsid w:val="00224EAE"/>
    <w:rsid w:val="00225670"/>
    <w:rsid w:val="002268F9"/>
    <w:rsid w:val="00226D28"/>
    <w:rsid w:val="00227323"/>
    <w:rsid w:val="002273F8"/>
    <w:rsid w:val="00230204"/>
    <w:rsid w:val="0023028F"/>
    <w:rsid w:val="00230A3C"/>
    <w:rsid w:val="00230B88"/>
    <w:rsid w:val="00231842"/>
    <w:rsid w:val="00231E15"/>
    <w:rsid w:val="002325C8"/>
    <w:rsid w:val="00232D93"/>
    <w:rsid w:val="00235E9D"/>
    <w:rsid w:val="0023608B"/>
    <w:rsid w:val="00236922"/>
    <w:rsid w:val="00236A18"/>
    <w:rsid w:val="00236C7C"/>
    <w:rsid w:val="00236FC4"/>
    <w:rsid w:val="00240FEC"/>
    <w:rsid w:val="0024226C"/>
    <w:rsid w:val="002423A0"/>
    <w:rsid w:val="002438EA"/>
    <w:rsid w:val="00245331"/>
    <w:rsid w:val="00246476"/>
    <w:rsid w:val="0024760D"/>
    <w:rsid w:val="002476C8"/>
    <w:rsid w:val="00252C08"/>
    <w:rsid w:val="0025356A"/>
    <w:rsid w:val="002548DB"/>
    <w:rsid w:val="00255335"/>
    <w:rsid w:val="00255E9C"/>
    <w:rsid w:val="00255F84"/>
    <w:rsid w:val="00256118"/>
    <w:rsid w:val="0025641E"/>
    <w:rsid w:val="00256692"/>
    <w:rsid w:val="00257859"/>
    <w:rsid w:val="00262CDC"/>
    <w:rsid w:val="0026336D"/>
    <w:rsid w:val="002659D6"/>
    <w:rsid w:val="00266BB2"/>
    <w:rsid w:val="00267F47"/>
    <w:rsid w:val="0027138C"/>
    <w:rsid w:val="002746C8"/>
    <w:rsid w:val="00274B2A"/>
    <w:rsid w:val="00276830"/>
    <w:rsid w:val="002772EA"/>
    <w:rsid w:val="00277457"/>
    <w:rsid w:val="002804AB"/>
    <w:rsid w:val="0028058D"/>
    <w:rsid w:val="0028110E"/>
    <w:rsid w:val="0028168C"/>
    <w:rsid w:val="00282531"/>
    <w:rsid w:val="00283492"/>
    <w:rsid w:val="00283AE5"/>
    <w:rsid w:val="00283F1B"/>
    <w:rsid w:val="00284C66"/>
    <w:rsid w:val="0029073F"/>
    <w:rsid w:val="00291676"/>
    <w:rsid w:val="00291E39"/>
    <w:rsid w:val="0029280B"/>
    <w:rsid w:val="00292C1D"/>
    <w:rsid w:val="00292EC0"/>
    <w:rsid w:val="00293679"/>
    <w:rsid w:val="00293BA3"/>
    <w:rsid w:val="00294A46"/>
    <w:rsid w:val="00296721"/>
    <w:rsid w:val="00296E4C"/>
    <w:rsid w:val="00296EFF"/>
    <w:rsid w:val="00297239"/>
    <w:rsid w:val="00297927"/>
    <w:rsid w:val="00297E46"/>
    <w:rsid w:val="002A0553"/>
    <w:rsid w:val="002A0933"/>
    <w:rsid w:val="002A2D40"/>
    <w:rsid w:val="002A3111"/>
    <w:rsid w:val="002A3C7D"/>
    <w:rsid w:val="002A44A9"/>
    <w:rsid w:val="002A4D2E"/>
    <w:rsid w:val="002B0AF2"/>
    <w:rsid w:val="002B0AFD"/>
    <w:rsid w:val="002B0B15"/>
    <w:rsid w:val="002B14B5"/>
    <w:rsid w:val="002B2991"/>
    <w:rsid w:val="002B3C38"/>
    <w:rsid w:val="002B4A3F"/>
    <w:rsid w:val="002B5380"/>
    <w:rsid w:val="002B5926"/>
    <w:rsid w:val="002B5C76"/>
    <w:rsid w:val="002B6FCD"/>
    <w:rsid w:val="002B72A2"/>
    <w:rsid w:val="002B7380"/>
    <w:rsid w:val="002B7901"/>
    <w:rsid w:val="002C1698"/>
    <w:rsid w:val="002C1FC2"/>
    <w:rsid w:val="002C2049"/>
    <w:rsid w:val="002C4E32"/>
    <w:rsid w:val="002C50AC"/>
    <w:rsid w:val="002C5176"/>
    <w:rsid w:val="002C6682"/>
    <w:rsid w:val="002C7913"/>
    <w:rsid w:val="002D0CC4"/>
    <w:rsid w:val="002D0CD4"/>
    <w:rsid w:val="002D11C7"/>
    <w:rsid w:val="002D22C6"/>
    <w:rsid w:val="002D28A9"/>
    <w:rsid w:val="002D6A75"/>
    <w:rsid w:val="002D7CBC"/>
    <w:rsid w:val="002E3325"/>
    <w:rsid w:val="002E497E"/>
    <w:rsid w:val="002E76D1"/>
    <w:rsid w:val="002F0500"/>
    <w:rsid w:val="002F1160"/>
    <w:rsid w:val="002F5491"/>
    <w:rsid w:val="002F7A8F"/>
    <w:rsid w:val="00301881"/>
    <w:rsid w:val="0030211F"/>
    <w:rsid w:val="00302961"/>
    <w:rsid w:val="00303102"/>
    <w:rsid w:val="00304242"/>
    <w:rsid w:val="00307253"/>
    <w:rsid w:val="0030766B"/>
    <w:rsid w:val="003078EB"/>
    <w:rsid w:val="00307E7E"/>
    <w:rsid w:val="00310E2F"/>
    <w:rsid w:val="003114D0"/>
    <w:rsid w:val="00311AE0"/>
    <w:rsid w:val="00311D2E"/>
    <w:rsid w:val="003172DF"/>
    <w:rsid w:val="003177AF"/>
    <w:rsid w:val="00320015"/>
    <w:rsid w:val="00321AE8"/>
    <w:rsid w:val="00322445"/>
    <w:rsid w:val="00322CF1"/>
    <w:rsid w:val="00324545"/>
    <w:rsid w:val="0032573A"/>
    <w:rsid w:val="00327439"/>
    <w:rsid w:val="003274DC"/>
    <w:rsid w:val="00327F8D"/>
    <w:rsid w:val="00327F8E"/>
    <w:rsid w:val="003301F8"/>
    <w:rsid w:val="00330746"/>
    <w:rsid w:val="00331400"/>
    <w:rsid w:val="0033156B"/>
    <w:rsid w:val="003322D8"/>
    <w:rsid w:val="003337EA"/>
    <w:rsid w:val="003343C4"/>
    <w:rsid w:val="00334497"/>
    <w:rsid w:val="00340CA2"/>
    <w:rsid w:val="00341E98"/>
    <w:rsid w:val="00344296"/>
    <w:rsid w:val="00347B43"/>
    <w:rsid w:val="0035034F"/>
    <w:rsid w:val="003524F1"/>
    <w:rsid w:val="00352768"/>
    <w:rsid w:val="00352E92"/>
    <w:rsid w:val="00352F7A"/>
    <w:rsid w:val="00356DCD"/>
    <w:rsid w:val="0036129D"/>
    <w:rsid w:val="00364C9F"/>
    <w:rsid w:val="00366ABC"/>
    <w:rsid w:val="00370EB8"/>
    <w:rsid w:val="00371045"/>
    <w:rsid w:val="00371B42"/>
    <w:rsid w:val="00372ACE"/>
    <w:rsid w:val="00372D58"/>
    <w:rsid w:val="003731A5"/>
    <w:rsid w:val="003736DA"/>
    <w:rsid w:val="00373731"/>
    <w:rsid w:val="00374CFA"/>
    <w:rsid w:val="003751F0"/>
    <w:rsid w:val="00375524"/>
    <w:rsid w:val="0037564F"/>
    <w:rsid w:val="00382A16"/>
    <w:rsid w:val="00383735"/>
    <w:rsid w:val="00383E57"/>
    <w:rsid w:val="00384699"/>
    <w:rsid w:val="00386215"/>
    <w:rsid w:val="003864E2"/>
    <w:rsid w:val="003866DC"/>
    <w:rsid w:val="003872AC"/>
    <w:rsid w:val="003900AC"/>
    <w:rsid w:val="00390999"/>
    <w:rsid w:val="003911D6"/>
    <w:rsid w:val="00391A9C"/>
    <w:rsid w:val="00391EEB"/>
    <w:rsid w:val="00394B7B"/>
    <w:rsid w:val="00395B87"/>
    <w:rsid w:val="00397E34"/>
    <w:rsid w:val="003A0565"/>
    <w:rsid w:val="003A0BB4"/>
    <w:rsid w:val="003A2CC7"/>
    <w:rsid w:val="003A33EF"/>
    <w:rsid w:val="003A415C"/>
    <w:rsid w:val="003A4774"/>
    <w:rsid w:val="003A5592"/>
    <w:rsid w:val="003A68DD"/>
    <w:rsid w:val="003A7482"/>
    <w:rsid w:val="003A75FD"/>
    <w:rsid w:val="003A7DAF"/>
    <w:rsid w:val="003B397A"/>
    <w:rsid w:val="003B3BF6"/>
    <w:rsid w:val="003B4278"/>
    <w:rsid w:val="003B6B7E"/>
    <w:rsid w:val="003C0075"/>
    <w:rsid w:val="003C06F7"/>
    <w:rsid w:val="003C1594"/>
    <w:rsid w:val="003C19B7"/>
    <w:rsid w:val="003C4059"/>
    <w:rsid w:val="003C50F1"/>
    <w:rsid w:val="003C511D"/>
    <w:rsid w:val="003C5AFB"/>
    <w:rsid w:val="003C6392"/>
    <w:rsid w:val="003C681A"/>
    <w:rsid w:val="003C7010"/>
    <w:rsid w:val="003C7DAE"/>
    <w:rsid w:val="003D2083"/>
    <w:rsid w:val="003D20CC"/>
    <w:rsid w:val="003D2B0F"/>
    <w:rsid w:val="003D626C"/>
    <w:rsid w:val="003E03EB"/>
    <w:rsid w:val="003E0642"/>
    <w:rsid w:val="003E1363"/>
    <w:rsid w:val="003E450D"/>
    <w:rsid w:val="003E54FD"/>
    <w:rsid w:val="003E5C35"/>
    <w:rsid w:val="003F0943"/>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24B6"/>
    <w:rsid w:val="004235A0"/>
    <w:rsid w:val="004238B6"/>
    <w:rsid w:val="00423C1E"/>
    <w:rsid w:val="00423C6F"/>
    <w:rsid w:val="00424771"/>
    <w:rsid w:val="00425B35"/>
    <w:rsid w:val="00427801"/>
    <w:rsid w:val="0043115E"/>
    <w:rsid w:val="00431E52"/>
    <w:rsid w:val="00433AB4"/>
    <w:rsid w:val="004347CE"/>
    <w:rsid w:val="0043546F"/>
    <w:rsid w:val="004370DA"/>
    <w:rsid w:val="00440AB9"/>
    <w:rsid w:val="004428A1"/>
    <w:rsid w:val="00443C2E"/>
    <w:rsid w:val="004444B6"/>
    <w:rsid w:val="0044597A"/>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487F"/>
    <w:rsid w:val="00485D81"/>
    <w:rsid w:val="004863EC"/>
    <w:rsid w:val="00487542"/>
    <w:rsid w:val="0049074E"/>
    <w:rsid w:val="004907F4"/>
    <w:rsid w:val="00493172"/>
    <w:rsid w:val="00493333"/>
    <w:rsid w:val="0049538C"/>
    <w:rsid w:val="004955BB"/>
    <w:rsid w:val="00497C14"/>
    <w:rsid w:val="004A0EA9"/>
    <w:rsid w:val="004A3533"/>
    <w:rsid w:val="004A3C5B"/>
    <w:rsid w:val="004A461C"/>
    <w:rsid w:val="004A4780"/>
    <w:rsid w:val="004A47DC"/>
    <w:rsid w:val="004A52B6"/>
    <w:rsid w:val="004B25A0"/>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4404"/>
    <w:rsid w:val="004C5035"/>
    <w:rsid w:val="004C5F47"/>
    <w:rsid w:val="004C7E96"/>
    <w:rsid w:val="004C7EA7"/>
    <w:rsid w:val="004D1014"/>
    <w:rsid w:val="004D3633"/>
    <w:rsid w:val="004D66DB"/>
    <w:rsid w:val="004E0978"/>
    <w:rsid w:val="004E14D9"/>
    <w:rsid w:val="004E1CB1"/>
    <w:rsid w:val="004E2D7E"/>
    <w:rsid w:val="004E4B6A"/>
    <w:rsid w:val="004E4ED5"/>
    <w:rsid w:val="004E6300"/>
    <w:rsid w:val="004F1DDB"/>
    <w:rsid w:val="004F2995"/>
    <w:rsid w:val="004F324F"/>
    <w:rsid w:val="004F4064"/>
    <w:rsid w:val="004F5136"/>
    <w:rsid w:val="004F688F"/>
    <w:rsid w:val="004F74B4"/>
    <w:rsid w:val="004F7624"/>
    <w:rsid w:val="005007C8"/>
    <w:rsid w:val="005021C7"/>
    <w:rsid w:val="00502D84"/>
    <w:rsid w:val="00504B64"/>
    <w:rsid w:val="00505FAA"/>
    <w:rsid w:val="00506095"/>
    <w:rsid w:val="00506ACA"/>
    <w:rsid w:val="00506CD0"/>
    <w:rsid w:val="00507183"/>
    <w:rsid w:val="005107FD"/>
    <w:rsid w:val="00510980"/>
    <w:rsid w:val="00511B34"/>
    <w:rsid w:val="00512AEC"/>
    <w:rsid w:val="00512D81"/>
    <w:rsid w:val="0051504C"/>
    <w:rsid w:val="005172B1"/>
    <w:rsid w:val="00520506"/>
    <w:rsid w:val="005206E2"/>
    <w:rsid w:val="00521ADE"/>
    <w:rsid w:val="0052268E"/>
    <w:rsid w:val="0052280A"/>
    <w:rsid w:val="005248D0"/>
    <w:rsid w:val="00524BC3"/>
    <w:rsid w:val="00525B77"/>
    <w:rsid w:val="0053070C"/>
    <w:rsid w:val="005314DF"/>
    <w:rsid w:val="00533105"/>
    <w:rsid w:val="005331B5"/>
    <w:rsid w:val="00534D3B"/>
    <w:rsid w:val="005351B3"/>
    <w:rsid w:val="005400A5"/>
    <w:rsid w:val="005420B4"/>
    <w:rsid w:val="005437B4"/>
    <w:rsid w:val="00543AE7"/>
    <w:rsid w:val="0054471F"/>
    <w:rsid w:val="00544A64"/>
    <w:rsid w:val="005459F5"/>
    <w:rsid w:val="00545B68"/>
    <w:rsid w:val="00546CB9"/>
    <w:rsid w:val="00546DF7"/>
    <w:rsid w:val="0055121B"/>
    <w:rsid w:val="00551751"/>
    <w:rsid w:val="00552B6E"/>
    <w:rsid w:val="005545A5"/>
    <w:rsid w:val="00555D64"/>
    <w:rsid w:val="00556D4F"/>
    <w:rsid w:val="00557A71"/>
    <w:rsid w:val="00560AED"/>
    <w:rsid w:val="005615FA"/>
    <w:rsid w:val="0056231D"/>
    <w:rsid w:val="005623DD"/>
    <w:rsid w:val="00563B23"/>
    <w:rsid w:val="00563D01"/>
    <w:rsid w:val="0056452E"/>
    <w:rsid w:val="005654C8"/>
    <w:rsid w:val="005656FB"/>
    <w:rsid w:val="00566995"/>
    <w:rsid w:val="00567010"/>
    <w:rsid w:val="005678EB"/>
    <w:rsid w:val="00570CA6"/>
    <w:rsid w:val="00570F18"/>
    <w:rsid w:val="0057123D"/>
    <w:rsid w:val="005720AF"/>
    <w:rsid w:val="0057387E"/>
    <w:rsid w:val="00573BFA"/>
    <w:rsid w:val="00573CC7"/>
    <w:rsid w:val="0057495C"/>
    <w:rsid w:val="005758A5"/>
    <w:rsid w:val="0057613C"/>
    <w:rsid w:val="0057636A"/>
    <w:rsid w:val="00576443"/>
    <w:rsid w:val="00583941"/>
    <w:rsid w:val="005847DC"/>
    <w:rsid w:val="005856EF"/>
    <w:rsid w:val="00585CC6"/>
    <w:rsid w:val="0059072E"/>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19D9"/>
    <w:rsid w:val="005B1B79"/>
    <w:rsid w:val="005B24EA"/>
    <w:rsid w:val="005B2F2A"/>
    <w:rsid w:val="005B33DF"/>
    <w:rsid w:val="005B55C1"/>
    <w:rsid w:val="005B6F85"/>
    <w:rsid w:val="005C00A9"/>
    <w:rsid w:val="005C20F7"/>
    <w:rsid w:val="005C22F8"/>
    <w:rsid w:val="005C4078"/>
    <w:rsid w:val="005C45F6"/>
    <w:rsid w:val="005C5039"/>
    <w:rsid w:val="005C5B2D"/>
    <w:rsid w:val="005C6A6C"/>
    <w:rsid w:val="005C74D1"/>
    <w:rsid w:val="005C7C7C"/>
    <w:rsid w:val="005C7FC0"/>
    <w:rsid w:val="005D0735"/>
    <w:rsid w:val="005D1C98"/>
    <w:rsid w:val="005D37B5"/>
    <w:rsid w:val="005D3B85"/>
    <w:rsid w:val="005D3F78"/>
    <w:rsid w:val="005D49F1"/>
    <w:rsid w:val="005D4A52"/>
    <w:rsid w:val="005D5B6F"/>
    <w:rsid w:val="005D6494"/>
    <w:rsid w:val="005D72C2"/>
    <w:rsid w:val="005D79E1"/>
    <w:rsid w:val="005D7C68"/>
    <w:rsid w:val="005E1A38"/>
    <w:rsid w:val="005E2179"/>
    <w:rsid w:val="005E27A3"/>
    <w:rsid w:val="005E2AA8"/>
    <w:rsid w:val="005E45D5"/>
    <w:rsid w:val="005E616C"/>
    <w:rsid w:val="005E6624"/>
    <w:rsid w:val="005E66A3"/>
    <w:rsid w:val="005F0478"/>
    <w:rsid w:val="005F1FA6"/>
    <w:rsid w:val="005F34DA"/>
    <w:rsid w:val="005F54F7"/>
    <w:rsid w:val="00601C76"/>
    <w:rsid w:val="006031EF"/>
    <w:rsid w:val="0060337A"/>
    <w:rsid w:val="006044C8"/>
    <w:rsid w:val="00604C17"/>
    <w:rsid w:val="006058F1"/>
    <w:rsid w:val="006108D1"/>
    <w:rsid w:val="00611055"/>
    <w:rsid w:val="00611687"/>
    <w:rsid w:val="00612491"/>
    <w:rsid w:val="00613269"/>
    <w:rsid w:val="00614F7E"/>
    <w:rsid w:val="0061601E"/>
    <w:rsid w:val="0061643A"/>
    <w:rsid w:val="00617053"/>
    <w:rsid w:val="00617E2A"/>
    <w:rsid w:val="00620ECE"/>
    <w:rsid w:val="0062106A"/>
    <w:rsid w:val="0062230F"/>
    <w:rsid w:val="006226CD"/>
    <w:rsid w:val="00622E77"/>
    <w:rsid w:val="00623758"/>
    <w:rsid w:val="0062398C"/>
    <w:rsid w:val="00624AE2"/>
    <w:rsid w:val="00624DDA"/>
    <w:rsid w:val="00627B44"/>
    <w:rsid w:val="00627C23"/>
    <w:rsid w:val="006305EF"/>
    <w:rsid w:val="00631992"/>
    <w:rsid w:val="00631E30"/>
    <w:rsid w:val="00632705"/>
    <w:rsid w:val="00640475"/>
    <w:rsid w:val="006404A9"/>
    <w:rsid w:val="006419BA"/>
    <w:rsid w:val="00641D35"/>
    <w:rsid w:val="00641F34"/>
    <w:rsid w:val="00642A36"/>
    <w:rsid w:val="006437A9"/>
    <w:rsid w:val="00643F9F"/>
    <w:rsid w:val="006440ED"/>
    <w:rsid w:val="00645857"/>
    <w:rsid w:val="00650A33"/>
    <w:rsid w:val="00652AEE"/>
    <w:rsid w:val="00653433"/>
    <w:rsid w:val="00653727"/>
    <w:rsid w:val="00653C29"/>
    <w:rsid w:val="00654B04"/>
    <w:rsid w:val="0065650A"/>
    <w:rsid w:val="0065660F"/>
    <w:rsid w:val="00656EB3"/>
    <w:rsid w:val="006573B5"/>
    <w:rsid w:val="00657D5A"/>
    <w:rsid w:val="00660480"/>
    <w:rsid w:val="00661FF2"/>
    <w:rsid w:val="00662C87"/>
    <w:rsid w:val="0066345D"/>
    <w:rsid w:val="00666290"/>
    <w:rsid w:val="00670027"/>
    <w:rsid w:val="00671D22"/>
    <w:rsid w:val="00675EB3"/>
    <w:rsid w:val="00676843"/>
    <w:rsid w:val="00676BD2"/>
    <w:rsid w:val="00677228"/>
    <w:rsid w:val="00680068"/>
    <w:rsid w:val="006801CA"/>
    <w:rsid w:val="00680B56"/>
    <w:rsid w:val="00680C92"/>
    <w:rsid w:val="00680D4C"/>
    <w:rsid w:val="00682099"/>
    <w:rsid w:val="00682746"/>
    <w:rsid w:val="00683717"/>
    <w:rsid w:val="00684132"/>
    <w:rsid w:val="006844B9"/>
    <w:rsid w:val="00685B75"/>
    <w:rsid w:val="006867CC"/>
    <w:rsid w:val="00690740"/>
    <w:rsid w:val="00690C50"/>
    <w:rsid w:val="00692EE8"/>
    <w:rsid w:val="0069454C"/>
    <w:rsid w:val="00694CCF"/>
    <w:rsid w:val="00694D57"/>
    <w:rsid w:val="0069509B"/>
    <w:rsid w:val="00696362"/>
    <w:rsid w:val="00697902"/>
    <w:rsid w:val="00697F0A"/>
    <w:rsid w:val="006A04AE"/>
    <w:rsid w:val="006A0E52"/>
    <w:rsid w:val="006A25B4"/>
    <w:rsid w:val="006A30DB"/>
    <w:rsid w:val="006A3949"/>
    <w:rsid w:val="006A4A62"/>
    <w:rsid w:val="006A5942"/>
    <w:rsid w:val="006A7552"/>
    <w:rsid w:val="006B01B9"/>
    <w:rsid w:val="006B0439"/>
    <w:rsid w:val="006B0D10"/>
    <w:rsid w:val="006B0EC2"/>
    <w:rsid w:val="006B13D4"/>
    <w:rsid w:val="006B3ABE"/>
    <w:rsid w:val="006B4884"/>
    <w:rsid w:val="006B4A52"/>
    <w:rsid w:val="006B5383"/>
    <w:rsid w:val="006B6A37"/>
    <w:rsid w:val="006B6D68"/>
    <w:rsid w:val="006B6F61"/>
    <w:rsid w:val="006C14E0"/>
    <w:rsid w:val="006C44DF"/>
    <w:rsid w:val="006C4633"/>
    <w:rsid w:val="006C5636"/>
    <w:rsid w:val="006C6C67"/>
    <w:rsid w:val="006C79D3"/>
    <w:rsid w:val="006D0805"/>
    <w:rsid w:val="006D0AA8"/>
    <w:rsid w:val="006D2153"/>
    <w:rsid w:val="006D4517"/>
    <w:rsid w:val="006D5F3A"/>
    <w:rsid w:val="006D6BCD"/>
    <w:rsid w:val="006D7AF1"/>
    <w:rsid w:val="006D7B5A"/>
    <w:rsid w:val="006E0925"/>
    <w:rsid w:val="006E1E9E"/>
    <w:rsid w:val="006E21DA"/>
    <w:rsid w:val="006E4279"/>
    <w:rsid w:val="006E4913"/>
    <w:rsid w:val="006E5555"/>
    <w:rsid w:val="006E5B47"/>
    <w:rsid w:val="006E78BA"/>
    <w:rsid w:val="006E7DAC"/>
    <w:rsid w:val="006F1295"/>
    <w:rsid w:val="006F15CC"/>
    <w:rsid w:val="006F1CCA"/>
    <w:rsid w:val="006F2C0E"/>
    <w:rsid w:val="006F4F09"/>
    <w:rsid w:val="006F508D"/>
    <w:rsid w:val="006F640B"/>
    <w:rsid w:val="0070043C"/>
    <w:rsid w:val="007046FB"/>
    <w:rsid w:val="00705A61"/>
    <w:rsid w:val="00710424"/>
    <w:rsid w:val="007109F6"/>
    <w:rsid w:val="007133CB"/>
    <w:rsid w:val="00713F83"/>
    <w:rsid w:val="00714ED2"/>
    <w:rsid w:val="00715F45"/>
    <w:rsid w:val="00716604"/>
    <w:rsid w:val="0071719A"/>
    <w:rsid w:val="0071726D"/>
    <w:rsid w:val="007176A7"/>
    <w:rsid w:val="007178FF"/>
    <w:rsid w:val="007204B4"/>
    <w:rsid w:val="00720781"/>
    <w:rsid w:val="00722B07"/>
    <w:rsid w:val="00722BC9"/>
    <w:rsid w:val="00723632"/>
    <w:rsid w:val="007238DA"/>
    <w:rsid w:val="00725052"/>
    <w:rsid w:val="00725342"/>
    <w:rsid w:val="00725C3B"/>
    <w:rsid w:val="00725F39"/>
    <w:rsid w:val="00727027"/>
    <w:rsid w:val="0073000D"/>
    <w:rsid w:val="0073022F"/>
    <w:rsid w:val="00731DF1"/>
    <w:rsid w:val="00731F2B"/>
    <w:rsid w:val="0073409B"/>
    <w:rsid w:val="00734AFD"/>
    <w:rsid w:val="00735E32"/>
    <w:rsid w:val="00736BEA"/>
    <w:rsid w:val="007375D0"/>
    <w:rsid w:val="00740095"/>
    <w:rsid w:val="0074159C"/>
    <w:rsid w:val="00742862"/>
    <w:rsid w:val="00742FD0"/>
    <w:rsid w:val="007432EF"/>
    <w:rsid w:val="00743FE9"/>
    <w:rsid w:val="0074497D"/>
    <w:rsid w:val="00745DD0"/>
    <w:rsid w:val="00745F44"/>
    <w:rsid w:val="00746455"/>
    <w:rsid w:val="00746F96"/>
    <w:rsid w:val="0074770C"/>
    <w:rsid w:val="00750405"/>
    <w:rsid w:val="007507C1"/>
    <w:rsid w:val="00751546"/>
    <w:rsid w:val="007541CE"/>
    <w:rsid w:val="007545E5"/>
    <w:rsid w:val="00755577"/>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874FB"/>
    <w:rsid w:val="007915AD"/>
    <w:rsid w:val="00792CC3"/>
    <w:rsid w:val="007947C6"/>
    <w:rsid w:val="00794CF3"/>
    <w:rsid w:val="00794E4C"/>
    <w:rsid w:val="00795109"/>
    <w:rsid w:val="0079614E"/>
    <w:rsid w:val="007A0160"/>
    <w:rsid w:val="007A027B"/>
    <w:rsid w:val="007A3937"/>
    <w:rsid w:val="007A40C6"/>
    <w:rsid w:val="007A4B43"/>
    <w:rsid w:val="007A4F20"/>
    <w:rsid w:val="007A67F3"/>
    <w:rsid w:val="007A6AA0"/>
    <w:rsid w:val="007A6B19"/>
    <w:rsid w:val="007B0E88"/>
    <w:rsid w:val="007B3045"/>
    <w:rsid w:val="007B391E"/>
    <w:rsid w:val="007B45EC"/>
    <w:rsid w:val="007B49DF"/>
    <w:rsid w:val="007B4B6D"/>
    <w:rsid w:val="007B5296"/>
    <w:rsid w:val="007B655B"/>
    <w:rsid w:val="007B67AD"/>
    <w:rsid w:val="007B7639"/>
    <w:rsid w:val="007C00BA"/>
    <w:rsid w:val="007C1606"/>
    <w:rsid w:val="007C18F2"/>
    <w:rsid w:val="007C1AC1"/>
    <w:rsid w:val="007C1FEC"/>
    <w:rsid w:val="007C46D1"/>
    <w:rsid w:val="007C5731"/>
    <w:rsid w:val="007C5C1C"/>
    <w:rsid w:val="007C5E71"/>
    <w:rsid w:val="007C730D"/>
    <w:rsid w:val="007C7393"/>
    <w:rsid w:val="007D0C6A"/>
    <w:rsid w:val="007D391B"/>
    <w:rsid w:val="007D3B29"/>
    <w:rsid w:val="007D43E6"/>
    <w:rsid w:val="007D5CD8"/>
    <w:rsid w:val="007D6974"/>
    <w:rsid w:val="007D7780"/>
    <w:rsid w:val="007E06B8"/>
    <w:rsid w:val="007E0A4B"/>
    <w:rsid w:val="007E326A"/>
    <w:rsid w:val="007E3EDF"/>
    <w:rsid w:val="007E4CDB"/>
    <w:rsid w:val="007E541D"/>
    <w:rsid w:val="007E548B"/>
    <w:rsid w:val="007F0468"/>
    <w:rsid w:val="007F1028"/>
    <w:rsid w:val="007F1637"/>
    <w:rsid w:val="007F1B11"/>
    <w:rsid w:val="007F1FBA"/>
    <w:rsid w:val="007F4ABD"/>
    <w:rsid w:val="007F694C"/>
    <w:rsid w:val="007F7212"/>
    <w:rsid w:val="007F74CA"/>
    <w:rsid w:val="007F7B5C"/>
    <w:rsid w:val="00800307"/>
    <w:rsid w:val="00800365"/>
    <w:rsid w:val="00800399"/>
    <w:rsid w:val="00800A09"/>
    <w:rsid w:val="008014EC"/>
    <w:rsid w:val="0080235B"/>
    <w:rsid w:val="0080294E"/>
    <w:rsid w:val="008029BA"/>
    <w:rsid w:val="00804FC7"/>
    <w:rsid w:val="008075EA"/>
    <w:rsid w:val="00807DD1"/>
    <w:rsid w:val="008111C3"/>
    <w:rsid w:val="008125BE"/>
    <w:rsid w:val="00812CF5"/>
    <w:rsid w:val="00813471"/>
    <w:rsid w:val="00814198"/>
    <w:rsid w:val="00814390"/>
    <w:rsid w:val="00814679"/>
    <w:rsid w:val="00814849"/>
    <w:rsid w:val="00820EE3"/>
    <w:rsid w:val="00821B02"/>
    <w:rsid w:val="00821F46"/>
    <w:rsid w:val="00822050"/>
    <w:rsid w:val="00822B92"/>
    <w:rsid w:val="00825488"/>
    <w:rsid w:val="00825653"/>
    <w:rsid w:val="00825D4F"/>
    <w:rsid w:val="00827DBA"/>
    <w:rsid w:val="00830D57"/>
    <w:rsid w:val="00832A31"/>
    <w:rsid w:val="008346B1"/>
    <w:rsid w:val="00835916"/>
    <w:rsid w:val="0083650C"/>
    <w:rsid w:val="0084045B"/>
    <w:rsid w:val="00841B72"/>
    <w:rsid w:val="0084658D"/>
    <w:rsid w:val="0084695E"/>
    <w:rsid w:val="00850166"/>
    <w:rsid w:val="00850650"/>
    <w:rsid w:val="00850E5D"/>
    <w:rsid w:val="00851E91"/>
    <w:rsid w:val="008524C4"/>
    <w:rsid w:val="0085268C"/>
    <w:rsid w:val="00854ABD"/>
    <w:rsid w:val="00856ED6"/>
    <w:rsid w:val="00861070"/>
    <w:rsid w:val="00862CAD"/>
    <w:rsid w:val="00864A50"/>
    <w:rsid w:val="00865C11"/>
    <w:rsid w:val="00866290"/>
    <w:rsid w:val="00866978"/>
    <w:rsid w:val="00866CD7"/>
    <w:rsid w:val="00866D9F"/>
    <w:rsid w:val="00871D3C"/>
    <w:rsid w:val="00872129"/>
    <w:rsid w:val="00872D1B"/>
    <w:rsid w:val="00872DC6"/>
    <w:rsid w:val="008730BC"/>
    <w:rsid w:val="0087451E"/>
    <w:rsid w:val="00874D66"/>
    <w:rsid w:val="0087590B"/>
    <w:rsid w:val="00876BDD"/>
    <w:rsid w:val="00877A7A"/>
    <w:rsid w:val="00877D54"/>
    <w:rsid w:val="00880394"/>
    <w:rsid w:val="0088208A"/>
    <w:rsid w:val="00882EAC"/>
    <w:rsid w:val="0088306B"/>
    <w:rsid w:val="00883B41"/>
    <w:rsid w:val="008874FC"/>
    <w:rsid w:val="0088798F"/>
    <w:rsid w:val="00890B69"/>
    <w:rsid w:val="0089248A"/>
    <w:rsid w:val="008933DC"/>
    <w:rsid w:val="008936B3"/>
    <w:rsid w:val="00893890"/>
    <w:rsid w:val="00894515"/>
    <w:rsid w:val="008958D8"/>
    <w:rsid w:val="00896489"/>
    <w:rsid w:val="008976A7"/>
    <w:rsid w:val="008A0E63"/>
    <w:rsid w:val="008A114F"/>
    <w:rsid w:val="008A2257"/>
    <w:rsid w:val="008A33CE"/>
    <w:rsid w:val="008B0362"/>
    <w:rsid w:val="008B1F88"/>
    <w:rsid w:val="008B298E"/>
    <w:rsid w:val="008B2B89"/>
    <w:rsid w:val="008B31AB"/>
    <w:rsid w:val="008B31D3"/>
    <w:rsid w:val="008B333F"/>
    <w:rsid w:val="008B383F"/>
    <w:rsid w:val="008B38AD"/>
    <w:rsid w:val="008B3FBF"/>
    <w:rsid w:val="008B44DA"/>
    <w:rsid w:val="008B4A06"/>
    <w:rsid w:val="008B5C9A"/>
    <w:rsid w:val="008B5CEA"/>
    <w:rsid w:val="008B694C"/>
    <w:rsid w:val="008C00E7"/>
    <w:rsid w:val="008C0F42"/>
    <w:rsid w:val="008C1EF2"/>
    <w:rsid w:val="008C3B68"/>
    <w:rsid w:val="008C5253"/>
    <w:rsid w:val="008C5686"/>
    <w:rsid w:val="008C65AC"/>
    <w:rsid w:val="008C6BFB"/>
    <w:rsid w:val="008C6D1F"/>
    <w:rsid w:val="008C7321"/>
    <w:rsid w:val="008C74DA"/>
    <w:rsid w:val="008C7C59"/>
    <w:rsid w:val="008D094A"/>
    <w:rsid w:val="008D1E99"/>
    <w:rsid w:val="008D6465"/>
    <w:rsid w:val="008E150C"/>
    <w:rsid w:val="008E1EFC"/>
    <w:rsid w:val="008E4F5C"/>
    <w:rsid w:val="008E58BF"/>
    <w:rsid w:val="008F0512"/>
    <w:rsid w:val="008F1A81"/>
    <w:rsid w:val="008F2125"/>
    <w:rsid w:val="008F3B73"/>
    <w:rsid w:val="008F7D0D"/>
    <w:rsid w:val="00900CE5"/>
    <w:rsid w:val="00901E9B"/>
    <w:rsid w:val="00902C6A"/>
    <w:rsid w:val="0090415F"/>
    <w:rsid w:val="00904CA9"/>
    <w:rsid w:val="00905911"/>
    <w:rsid w:val="00906090"/>
    <w:rsid w:val="00906476"/>
    <w:rsid w:val="00906A9A"/>
    <w:rsid w:val="00907061"/>
    <w:rsid w:val="00907834"/>
    <w:rsid w:val="0090788B"/>
    <w:rsid w:val="009079B2"/>
    <w:rsid w:val="009118A0"/>
    <w:rsid w:val="00911C28"/>
    <w:rsid w:val="00913D48"/>
    <w:rsid w:val="00913D96"/>
    <w:rsid w:val="009145F6"/>
    <w:rsid w:val="00917246"/>
    <w:rsid w:val="00917547"/>
    <w:rsid w:val="0091759A"/>
    <w:rsid w:val="00920540"/>
    <w:rsid w:val="00920F36"/>
    <w:rsid w:val="00922697"/>
    <w:rsid w:val="00922F8C"/>
    <w:rsid w:val="0092325A"/>
    <w:rsid w:val="00924BD8"/>
    <w:rsid w:val="009262FA"/>
    <w:rsid w:val="0092657B"/>
    <w:rsid w:val="00927A82"/>
    <w:rsid w:val="009314DA"/>
    <w:rsid w:val="00931700"/>
    <w:rsid w:val="00933951"/>
    <w:rsid w:val="00935B43"/>
    <w:rsid w:val="009364E2"/>
    <w:rsid w:val="009371D6"/>
    <w:rsid w:val="00937BFF"/>
    <w:rsid w:val="009400A1"/>
    <w:rsid w:val="009410FA"/>
    <w:rsid w:val="009430F7"/>
    <w:rsid w:val="00945D30"/>
    <w:rsid w:val="00946916"/>
    <w:rsid w:val="00947045"/>
    <w:rsid w:val="009475A6"/>
    <w:rsid w:val="00950C28"/>
    <w:rsid w:val="00951993"/>
    <w:rsid w:val="0095216E"/>
    <w:rsid w:val="00953E57"/>
    <w:rsid w:val="00954170"/>
    <w:rsid w:val="0095420F"/>
    <w:rsid w:val="00954CC0"/>
    <w:rsid w:val="00955C25"/>
    <w:rsid w:val="00956BB5"/>
    <w:rsid w:val="009572E5"/>
    <w:rsid w:val="00957676"/>
    <w:rsid w:val="009617E7"/>
    <w:rsid w:val="009621B2"/>
    <w:rsid w:val="00963A1A"/>
    <w:rsid w:val="00963E1E"/>
    <w:rsid w:val="00964590"/>
    <w:rsid w:val="0096654A"/>
    <w:rsid w:val="009677E3"/>
    <w:rsid w:val="00971187"/>
    <w:rsid w:val="00971196"/>
    <w:rsid w:val="009727AA"/>
    <w:rsid w:val="00973755"/>
    <w:rsid w:val="00976040"/>
    <w:rsid w:val="00980736"/>
    <w:rsid w:val="009807A1"/>
    <w:rsid w:val="00981704"/>
    <w:rsid w:val="0098182C"/>
    <w:rsid w:val="00981D80"/>
    <w:rsid w:val="00983F39"/>
    <w:rsid w:val="00984390"/>
    <w:rsid w:val="00985839"/>
    <w:rsid w:val="0099125B"/>
    <w:rsid w:val="00992952"/>
    <w:rsid w:val="00992D61"/>
    <w:rsid w:val="00995929"/>
    <w:rsid w:val="00995C91"/>
    <w:rsid w:val="00995EE7"/>
    <w:rsid w:val="00996652"/>
    <w:rsid w:val="00996BF1"/>
    <w:rsid w:val="00997009"/>
    <w:rsid w:val="0099745E"/>
    <w:rsid w:val="009A03A3"/>
    <w:rsid w:val="009A2ACF"/>
    <w:rsid w:val="009A481E"/>
    <w:rsid w:val="009A5D1F"/>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06"/>
    <w:rsid w:val="009C3DB4"/>
    <w:rsid w:val="009C3F13"/>
    <w:rsid w:val="009C43FC"/>
    <w:rsid w:val="009C5A80"/>
    <w:rsid w:val="009C5F03"/>
    <w:rsid w:val="009C7C8F"/>
    <w:rsid w:val="009D0450"/>
    <w:rsid w:val="009D1594"/>
    <w:rsid w:val="009D1FBA"/>
    <w:rsid w:val="009D332F"/>
    <w:rsid w:val="009D580B"/>
    <w:rsid w:val="009D6294"/>
    <w:rsid w:val="009E05B6"/>
    <w:rsid w:val="009E590F"/>
    <w:rsid w:val="009E6ACF"/>
    <w:rsid w:val="009F0C32"/>
    <w:rsid w:val="009F461F"/>
    <w:rsid w:val="00A006D3"/>
    <w:rsid w:val="00A01305"/>
    <w:rsid w:val="00A01EEF"/>
    <w:rsid w:val="00A0259C"/>
    <w:rsid w:val="00A036CB"/>
    <w:rsid w:val="00A0546A"/>
    <w:rsid w:val="00A05EC0"/>
    <w:rsid w:val="00A061CA"/>
    <w:rsid w:val="00A06AAA"/>
    <w:rsid w:val="00A07A49"/>
    <w:rsid w:val="00A10E38"/>
    <w:rsid w:val="00A12ECE"/>
    <w:rsid w:val="00A135B3"/>
    <w:rsid w:val="00A1434D"/>
    <w:rsid w:val="00A14953"/>
    <w:rsid w:val="00A167B9"/>
    <w:rsid w:val="00A16CDB"/>
    <w:rsid w:val="00A176A1"/>
    <w:rsid w:val="00A17DB5"/>
    <w:rsid w:val="00A20A09"/>
    <w:rsid w:val="00A20C64"/>
    <w:rsid w:val="00A224C0"/>
    <w:rsid w:val="00A22A14"/>
    <w:rsid w:val="00A23526"/>
    <w:rsid w:val="00A27149"/>
    <w:rsid w:val="00A2793B"/>
    <w:rsid w:val="00A30105"/>
    <w:rsid w:val="00A31ADE"/>
    <w:rsid w:val="00A31FA7"/>
    <w:rsid w:val="00A348D2"/>
    <w:rsid w:val="00A35D3C"/>
    <w:rsid w:val="00A3616F"/>
    <w:rsid w:val="00A377FE"/>
    <w:rsid w:val="00A40E0E"/>
    <w:rsid w:val="00A41C95"/>
    <w:rsid w:val="00A42739"/>
    <w:rsid w:val="00A43393"/>
    <w:rsid w:val="00A43649"/>
    <w:rsid w:val="00A442F1"/>
    <w:rsid w:val="00A46ABD"/>
    <w:rsid w:val="00A46C18"/>
    <w:rsid w:val="00A470CE"/>
    <w:rsid w:val="00A50344"/>
    <w:rsid w:val="00A503E9"/>
    <w:rsid w:val="00A50E65"/>
    <w:rsid w:val="00A52058"/>
    <w:rsid w:val="00A52E2E"/>
    <w:rsid w:val="00A55536"/>
    <w:rsid w:val="00A5613C"/>
    <w:rsid w:val="00A56CA0"/>
    <w:rsid w:val="00A570EE"/>
    <w:rsid w:val="00A57C48"/>
    <w:rsid w:val="00A57EB2"/>
    <w:rsid w:val="00A608F5"/>
    <w:rsid w:val="00A62463"/>
    <w:rsid w:val="00A6391E"/>
    <w:rsid w:val="00A63C0B"/>
    <w:rsid w:val="00A649D3"/>
    <w:rsid w:val="00A656FD"/>
    <w:rsid w:val="00A6645C"/>
    <w:rsid w:val="00A66A68"/>
    <w:rsid w:val="00A67837"/>
    <w:rsid w:val="00A70423"/>
    <w:rsid w:val="00A70863"/>
    <w:rsid w:val="00A721B8"/>
    <w:rsid w:val="00A727FC"/>
    <w:rsid w:val="00A72E35"/>
    <w:rsid w:val="00A7300A"/>
    <w:rsid w:val="00A7414F"/>
    <w:rsid w:val="00A7627C"/>
    <w:rsid w:val="00A81405"/>
    <w:rsid w:val="00A82114"/>
    <w:rsid w:val="00A82FF0"/>
    <w:rsid w:val="00A83207"/>
    <w:rsid w:val="00A83BED"/>
    <w:rsid w:val="00A8488F"/>
    <w:rsid w:val="00A85DA3"/>
    <w:rsid w:val="00A92670"/>
    <w:rsid w:val="00A96434"/>
    <w:rsid w:val="00A96AAF"/>
    <w:rsid w:val="00A979BC"/>
    <w:rsid w:val="00AA03B1"/>
    <w:rsid w:val="00AA2944"/>
    <w:rsid w:val="00AA2A82"/>
    <w:rsid w:val="00AA3179"/>
    <w:rsid w:val="00AB0B41"/>
    <w:rsid w:val="00AB1635"/>
    <w:rsid w:val="00AB297D"/>
    <w:rsid w:val="00AB759C"/>
    <w:rsid w:val="00AB7830"/>
    <w:rsid w:val="00AC031E"/>
    <w:rsid w:val="00AC31F2"/>
    <w:rsid w:val="00AC35C4"/>
    <w:rsid w:val="00AC3DCF"/>
    <w:rsid w:val="00AC4154"/>
    <w:rsid w:val="00AC587E"/>
    <w:rsid w:val="00AD0413"/>
    <w:rsid w:val="00AD1058"/>
    <w:rsid w:val="00AD18B4"/>
    <w:rsid w:val="00AD4FB0"/>
    <w:rsid w:val="00AD7F13"/>
    <w:rsid w:val="00AE04A8"/>
    <w:rsid w:val="00AE117D"/>
    <w:rsid w:val="00AE1842"/>
    <w:rsid w:val="00AE1843"/>
    <w:rsid w:val="00AE1EEC"/>
    <w:rsid w:val="00AE23F9"/>
    <w:rsid w:val="00AE2430"/>
    <w:rsid w:val="00AE4000"/>
    <w:rsid w:val="00AE52CE"/>
    <w:rsid w:val="00AE5452"/>
    <w:rsid w:val="00AE5EF5"/>
    <w:rsid w:val="00AE6188"/>
    <w:rsid w:val="00AE7AF0"/>
    <w:rsid w:val="00AF258A"/>
    <w:rsid w:val="00AF4AE5"/>
    <w:rsid w:val="00AF5D1E"/>
    <w:rsid w:val="00AF6D11"/>
    <w:rsid w:val="00B01B17"/>
    <w:rsid w:val="00B04103"/>
    <w:rsid w:val="00B047E9"/>
    <w:rsid w:val="00B050FB"/>
    <w:rsid w:val="00B05867"/>
    <w:rsid w:val="00B07BDD"/>
    <w:rsid w:val="00B10EC0"/>
    <w:rsid w:val="00B123FF"/>
    <w:rsid w:val="00B134B6"/>
    <w:rsid w:val="00B142F4"/>
    <w:rsid w:val="00B14448"/>
    <w:rsid w:val="00B16061"/>
    <w:rsid w:val="00B1645D"/>
    <w:rsid w:val="00B16CC2"/>
    <w:rsid w:val="00B17C66"/>
    <w:rsid w:val="00B17DAF"/>
    <w:rsid w:val="00B17E1E"/>
    <w:rsid w:val="00B21C56"/>
    <w:rsid w:val="00B24AE7"/>
    <w:rsid w:val="00B25103"/>
    <w:rsid w:val="00B27A8F"/>
    <w:rsid w:val="00B27B2E"/>
    <w:rsid w:val="00B31421"/>
    <w:rsid w:val="00B31D2B"/>
    <w:rsid w:val="00B31E2C"/>
    <w:rsid w:val="00B32E44"/>
    <w:rsid w:val="00B336AA"/>
    <w:rsid w:val="00B34173"/>
    <w:rsid w:val="00B362ED"/>
    <w:rsid w:val="00B36952"/>
    <w:rsid w:val="00B375B6"/>
    <w:rsid w:val="00B410C1"/>
    <w:rsid w:val="00B4166B"/>
    <w:rsid w:val="00B418ED"/>
    <w:rsid w:val="00B42554"/>
    <w:rsid w:val="00B42703"/>
    <w:rsid w:val="00B43502"/>
    <w:rsid w:val="00B4391E"/>
    <w:rsid w:val="00B43ED0"/>
    <w:rsid w:val="00B45081"/>
    <w:rsid w:val="00B4549F"/>
    <w:rsid w:val="00B46290"/>
    <w:rsid w:val="00B46384"/>
    <w:rsid w:val="00B503D0"/>
    <w:rsid w:val="00B513B4"/>
    <w:rsid w:val="00B514DC"/>
    <w:rsid w:val="00B522AA"/>
    <w:rsid w:val="00B60A84"/>
    <w:rsid w:val="00B60AED"/>
    <w:rsid w:val="00B60B0D"/>
    <w:rsid w:val="00B610DD"/>
    <w:rsid w:val="00B627D5"/>
    <w:rsid w:val="00B62948"/>
    <w:rsid w:val="00B62AB3"/>
    <w:rsid w:val="00B63B5B"/>
    <w:rsid w:val="00B64AD4"/>
    <w:rsid w:val="00B64E9D"/>
    <w:rsid w:val="00B678D4"/>
    <w:rsid w:val="00B708E8"/>
    <w:rsid w:val="00B711F9"/>
    <w:rsid w:val="00B734FD"/>
    <w:rsid w:val="00B738CA"/>
    <w:rsid w:val="00B7404A"/>
    <w:rsid w:val="00B75AC6"/>
    <w:rsid w:val="00B8144B"/>
    <w:rsid w:val="00B81F91"/>
    <w:rsid w:val="00B839BA"/>
    <w:rsid w:val="00B8685C"/>
    <w:rsid w:val="00B86A2D"/>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548"/>
    <w:rsid w:val="00BA3C49"/>
    <w:rsid w:val="00BA5315"/>
    <w:rsid w:val="00BA54F1"/>
    <w:rsid w:val="00BA7A87"/>
    <w:rsid w:val="00BA7C33"/>
    <w:rsid w:val="00BB07FC"/>
    <w:rsid w:val="00BB0B67"/>
    <w:rsid w:val="00BB2970"/>
    <w:rsid w:val="00BC34F6"/>
    <w:rsid w:val="00BC4EF0"/>
    <w:rsid w:val="00BC6E99"/>
    <w:rsid w:val="00BC7C00"/>
    <w:rsid w:val="00BD0CA7"/>
    <w:rsid w:val="00BD1EFB"/>
    <w:rsid w:val="00BD223A"/>
    <w:rsid w:val="00BD57C8"/>
    <w:rsid w:val="00BD5879"/>
    <w:rsid w:val="00BD5A0C"/>
    <w:rsid w:val="00BD5B58"/>
    <w:rsid w:val="00BD73F1"/>
    <w:rsid w:val="00BE0E15"/>
    <w:rsid w:val="00BE3711"/>
    <w:rsid w:val="00BE3D8C"/>
    <w:rsid w:val="00BE4D14"/>
    <w:rsid w:val="00BE5CF2"/>
    <w:rsid w:val="00BE72E5"/>
    <w:rsid w:val="00BF067E"/>
    <w:rsid w:val="00BF22E7"/>
    <w:rsid w:val="00BF2883"/>
    <w:rsid w:val="00BF63CC"/>
    <w:rsid w:val="00BF6A00"/>
    <w:rsid w:val="00BF6FA9"/>
    <w:rsid w:val="00BF7497"/>
    <w:rsid w:val="00BF7C90"/>
    <w:rsid w:val="00C000AC"/>
    <w:rsid w:val="00C00429"/>
    <w:rsid w:val="00C02033"/>
    <w:rsid w:val="00C05FD9"/>
    <w:rsid w:val="00C06BBC"/>
    <w:rsid w:val="00C06C54"/>
    <w:rsid w:val="00C07703"/>
    <w:rsid w:val="00C07949"/>
    <w:rsid w:val="00C105ED"/>
    <w:rsid w:val="00C109F0"/>
    <w:rsid w:val="00C11925"/>
    <w:rsid w:val="00C120C1"/>
    <w:rsid w:val="00C129D7"/>
    <w:rsid w:val="00C12B50"/>
    <w:rsid w:val="00C13AC2"/>
    <w:rsid w:val="00C13E18"/>
    <w:rsid w:val="00C16BE6"/>
    <w:rsid w:val="00C20BEA"/>
    <w:rsid w:val="00C21E38"/>
    <w:rsid w:val="00C241D4"/>
    <w:rsid w:val="00C2433C"/>
    <w:rsid w:val="00C24C84"/>
    <w:rsid w:val="00C24D43"/>
    <w:rsid w:val="00C24F5B"/>
    <w:rsid w:val="00C250E8"/>
    <w:rsid w:val="00C26014"/>
    <w:rsid w:val="00C2620B"/>
    <w:rsid w:val="00C264F8"/>
    <w:rsid w:val="00C27BA5"/>
    <w:rsid w:val="00C27D23"/>
    <w:rsid w:val="00C31313"/>
    <w:rsid w:val="00C320B6"/>
    <w:rsid w:val="00C32874"/>
    <w:rsid w:val="00C33E7B"/>
    <w:rsid w:val="00C37286"/>
    <w:rsid w:val="00C405D9"/>
    <w:rsid w:val="00C41668"/>
    <w:rsid w:val="00C4206E"/>
    <w:rsid w:val="00C431FA"/>
    <w:rsid w:val="00C43488"/>
    <w:rsid w:val="00C44F7A"/>
    <w:rsid w:val="00C452D9"/>
    <w:rsid w:val="00C45666"/>
    <w:rsid w:val="00C47754"/>
    <w:rsid w:val="00C47D30"/>
    <w:rsid w:val="00C500E2"/>
    <w:rsid w:val="00C5024B"/>
    <w:rsid w:val="00C533BD"/>
    <w:rsid w:val="00C54452"/>
    <w:rsid w:val="00C557BA"/>
    <w:rsid w:val="00C56774"/>
    <w:rsid w:val="00C5784C"/>
    <w:rsid w:val="00C600E8"/>
    <w:rsid w:val="00C62ECF"/>
    <w:rsid w:val="00C64618"/>
    <w:rsid w:val="00C67B70"/>
    <w:rsid w:val="00C70D0F"/>
    <w:rsid w:val="00C7219E"/>
    <w:rsid w:val="00C72DAA"/>
    <w:rsid w:val="00C745D1"/>
    <w:rsid w:val="00C7546F"/>
    <w:rsid w:val="00C7758D"/>
    <w:rsid w:val="00C77777"/>
    <w:rsid w:val="00C82B5D"/>
    <w:rsid w:val="00C8318D"/>
    <w:rsid w:val="00C83387"/>
    <w:rsid w:val="00C83AA5"/>
    <w:rsid w:val="00C83C98"/>
    <w:rsid w:val="00C84986"/>
    <w:rsid w:val="00C8761B"/>
    <w:rsid w:val="00C8762A"/>
    <w:rsid w:val="00C913FF"/>
    <w:rsid w:val="00C941AD"/>
    <w:rsid w:val="00C9639A"/>
    <w:rsid w:val="00C97DC8"/>
    <w:rsid w:val="00CA04A9"/>
    <w:rsid w:val="00CA424D"/>
    <w:rsid w:val="00CA4CBC"/>
    <w:rsid w:val="00CA6175"/>
    <w:rsid w:val="00CA6DB5"/>
    <w:rsid w:val="00CA74D2"/>
    <w:rsid w:val="00CA77AC"/>
    <w:rsid w:val="00CA7C5D"/>
    <w:rsid w:val="00CB0514"/>
    <w:rsid w:val="00CB089A"/>
    <w:rsid w:val="00CB0974"/>
    <w:rsid w:val="00CB4525"/>
    <w:rsid w:val="00CB4FB7"/>
    <w:rsid w:val="00CB5434"/>
    <w:rsid w:val="00CB5719"/>
    <w:rsid w:val="00CB596E"/>
    <w:rsid w:val="00CB6DEB"/>
    <w:rsid w:val="00CB72AF"/>
    <w:rsid w:val="00CB7359"/>
    <w:rsid w:val="00CC0133"/>
    <w:rsid w:val="00CC0B13"/>
    <w:rsid w:val="00CC0BE0"/>
    <w:rsid w:val="00CC18C3"/>
    <w:rsid w:val="00CC4530"/>
    <w:rsid w:val="00CC56BB"/>
    <w:rsid w:val="00CC63DD"/>
    <w:rsid w:val="00CC6CA7"/>
    <w:rsid w:val="00CD18B1"/>
    <w:rsid w:val="00CD1D5F"/>
    <w:rsid w:val="00CD28D1"/>
    <w:rsid w:val="00CD30D0"/>
    <w:rsid w:val="00CD54A9"/>
    <w:rsid w:val="00CE124A"/>
    <w:rsid w:val="00CE2A97"/>
    <w:rsid w:val="00CE370A"/>
    <w:rsid w:val="00CE45DD"/>
    <w:rsid w:val="00CE4D2A"/>
    <w:rsid w:val="00CF0155"/>
    <w:rsid w:val="00CF15DB"/>
    <w:rsid w:val="00CF2C23"/>
    <w:rsid w:val="00CF2EC3"/>
    <w:rsid w:val="00CF3927"/>
    <w:rsid w:val="00CF39E9"/>
    <w:rsid w:val="00CF3BCD"/>
    <w:rsid w:val="00CF44B0"/>
    <w:rsid w:val="00CF4C62"/>
    <w:rsid w:val="00CF4DED"/>
    <w:rsid w:val="00CF79CE"/>
    <w:rsid w:val="00D00B5B"/>
    <w:rsid w:val="00D0206C"/>
    <w:rsid w:val="00D0502F"/>
    <w:rsid w:val="00D0697C"/>
    <w:rsid w:val="00D07F62"/>
    <w:rsid w:val="00D10B90"/>
    <w:rsid w:val="00D113F1"/>
    <w:rsid w:val="00D118DA"/>
    <w:rsid w:val="00D12387"/>
    <w:rsid w:val="00D12577"/>
    <w:rsid w:val="00D13663"/>
    <w:rsid w:val="00D13E3F"/>
    <w:rsid w:val="00D149A1"/>
    <w:rsid w:val="00D14F2A"/>
    <w:rsid w:val="00D17B15"/>
    <w:rsid w:val="00D20058"/>
    <w:rsid w:val="00D20884"/>
    <w:rsid w:val="00D20D3E"/>
    <w:rsid w:val="00D22687"/>
    <w:rsid w:val="00D24EDB"/>
    <w:rsid w:val="00D25C07"/>
    <w:rsid w:val="00D260E2"/>
    <w:rsid w:val="00D26951"/>
    <w:rsid w:val="00D2779E"/>
    <w:rsid w:val="00D27FD3"/>
    <w:rsid w:val="00D325C8"/>
    <w:rsid w:val="00D32759"/>
    <w:rsid w:val="00D340A4"/>
    <w:rsid w:val="00D340CA"/>
    <w:rsid w:val="00D34291"/>
    <w:rsid w:val="00D404D5"/>
    <w:rsid w:val="00D40A73"/>
    <w:rsid w:val="00D40EA0"/>
    <w:rsid w:val="00D41193"/>
    <w:rsid w:val="00D4162D"/>
    <w:rsid w:val="00D4240E"/>
    <w:rsid w:val="00D42F1B"/>
    <w:rsid w:val="00D4392D"/>
    <w:rsid w:val="00D45F62"/>
    <w:rsid w:val="00D5110F"/>
    <w:rsid w:val="00D513E0"/>
    <w:rsid w:val="00D5168F"/>
    <w:rsid w:val="00D524BC"/>
    <w:rsid w:val="00D546FB"/>
    <w:rsid w:val="00D550D9"/>
    <w:rsid w:val="00D60AD8"/>
    <w:rsid w:val="00D6135D"/>
    <w:rsid w:val="00D61844"/>
    <w:rsid w:val="00D61AA5"/>
    <w:rsid w:val="00D652FC"/>
    <w:rsid w:val="00D71699"/>
    <w:rsid w:val="00D72B69"/>
    <w:rsid w:val="00D73493"/>
    <w:rsid w:val="00D74098"/>
    <w:rsid w:val="00D74264"/>
    <w:rsid w:val="00D749C9"/>
    <w:rsid w:val="00D74DEF"/>
    <w:rsid w:val="00D777C4"/>
    <w:rsid w:val="00D8102F"/>
    <w:rsid w:val="00D81AA3"/>
    <w:rsid w:val="00D81C1F"/>
    <w:rsid w:val="00D83636"/>
    <w:rsid w:val="00D85F98"/>
    <w:rsid w:val="00D86455"/>
    <w:rsid w:val="00D869C3"/>
    <w:rsid w:val="00D905D5"/>
    <w:rsid w:val="00D912FC"/>
    <w:rsid w:val="00D91AE1"/>
    <w:rsid w:val="00DA151F"/>
    <w:rsid w:val="00DA1684"/>
    <w:rsid w:val="00DA397A"/>
    <w:rsid w:val="00DA4689"/>
    <w:rsid w:val="00DA474C"/>
    <w:rsid w:val="00DA4891"/>
    <w:rsid w:val="00DA4926"/>
    <w:rsid w:val="00DA6B7D"/>
    <w:rsid w:val="00DB02C0"/>
    <w:rsid w:val="00DB0357"/>
    <w:rsid w:val="00DB2227"/>
    <w:rsid w:val="00DB23F6"/>
    <w:rsid w:val="00DB284F"/>
    <w:rsid w:val="00DB3E0A"/>
    <w:rsid w:val="00DB5D01"/>
    <w:rsid w:val="00DB79E4"/>
    <w:rsid w:val="00DC06A4"/>
    <w:rsid w:val="00DC0ACA"/>
    <w:rsid w:val="00DC1684"/>
    <w:rsid w:val="00DC2BF8"/>
    <w:rsid w:val="00DC3459"/>
    <w:rsid w:val="00DC3B22"/>
    <w:rsid w:val="00DD0D69"/>
    <w:rsid w:val="00DD26E3"/>
    <w:rsid w:val="00DD4EF2"/>
    <w:rsid w:val="00DD7636"/>
    <w:rsid w:val="00DE16CD"/>
    <w:rsid w:val="00DE32E5"/>
    <w:rsid w:val="00DE3605"/>
    <w:rsid w:val="00DE3946"/>
    <w:rsid w:val="00DE44DB"/>
    <w:rsid w:val="00DE4881"/>
    <w:rsid w:val="00DE4AD3"/>
    <w:rsid w:val="00DE5661"/>
    <w:rsid w:val="00DF09B1"/>
    <w:rsid w:val="00DF14B9"/>
    <w:rsid w:val="00DF26B2"/>
    <w:rsid w:val="00DF4DDE"/>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329"/>
    <w:rsid w:val="00E15664"/>
    <w:rsid w:val="00E15A03"/>
    <w:rsid w:val="00E167E1"/>
    <w:rsid w:val="00E21E8C"/>
    <w:rsid w:val="00E228D6"/>
    <w:rsid w:val="00E250B5"/>
    <w:rsid w:val="00E26155"/>
    <w:rsid w:val="00E2708D"/>
    <w:rsid w:val="00E270E6"/>
    <w:rsid w:val="00E2770A"/>
    <w:rsid w:val="00E33737"/>
    <w:rsid w:val="00E33CD1"/>
    <w:rsid w:val="00E40C06"/>
    <w:rsid w:val="00E40F6F"/>
    <w:rsid w:val="00E43DFA"/>
    <w:rsid w:val="00E44250"/>
    <w:rsid w:val="00E45553"/>
    <w:rsid w:val="00E4639E"/>
    <w:rsid w:val="00E47E96"/>
    <w:rsid w:val="00E53631"/>
    <w:rsid w:val="00E5420C"/>
    <w:rsid w:val="00E56339"/>
    <w:rsid w:val="00E56ECC"/>
    <w:rsid w:val="00E572EF"/>
    <w:rsid w:val="00E5762D"/>
    <w:rsid w:val="00E57FEE"/>
    <w:rsid w:val="00E629C3"/>
    <w:rsid w:val="00E63001"/>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EA"/>
    <w:rsid w:val="00E932CE"/>
    <w:rsid w:val="00E9330B"/>
    <w:rsid w:val="00E937F2"/>
    <w:rsid w:val="00E96BC6"/>
    <w:rsid w:val="00E976C6"/>
    <w:rsid w:val="00EA00F3"/>
    <w:rsid w:val="00EA07A3"/>
    <w:rsid w:val="00EA1938"/>
    <w:rsid w:val="00EA1DF8"/>
    <w:rsid w:val="00EA3A4B"/>
    <w:rsid w:val="00EA4F03"/>
    <w:rsid w:val="00EA6C48"/>
    <w:rsid w:val="00EA71E1"/>
    <w:rsid w:val="00EB0AE8"/>
    <w:rsid w:val="00EB26CD"/>
    <w:rsid w:val="00EB3306"/>
    <w:rsid w:val="00EB3FB0"/>
    <w:rsid w:val="00EB435C"/>
    <w:rsid w:val="00EB4C4B"/>
    <w:rsid w:val="00EB4F26"/>
    <w:rsid w:val="00EB5A09"/>
    <w:rsid w:val="00EB5B49"/>
    <w:rsid w:val="00EB6DDD"/>
    <w:rsid w:val="00EB6E94"/>
    <w:rsid w:val="00EC1C37"/>
    <w:rsid w:val="00EC4220"/>
    <w:rsid w:val="00EC4A33"/>
    <w:rsid w:val="00EC4A87"/>
    <w:rsid w:val="00EC6271"/>
    <w:rsid w:val="00EC7556"/>
    <w:rsid w:val="00EC7A99"/>
    <w:rsid w:val="00ED086D"/>
    <w:rsid w:val="00ED0F0B"/>
    <w:rsid w:val="00ED1036"/>
    <w:rsid w:val="00ED2EBC"/>
    <w:rsid w:val="00ED4242"/>
    <w:rsid w:val="00ED4755"/>
    <w:rsid w:val="00ED584C"/>
    <w:rsid w:val="00ED7431"/>
    <w:rsid w:val="00EE0519"/>
    <w:rsid w:val="00EE2179"/>
    <w:rsid w:val="00EE2381"/>
    <w:rsid w:val="00EE3BFD"/>
    <w:rsid w:val="00EE5A58"/>
    <w:rsid w:val="00EE64AA"/>
    <w:rsid w:val="00EE77EC"/>
    <w:rsid w:val="00EF0CFD"/>
    <w:rsid w:val="00EF0E9B"/>
    <w:rsid w:val="00EF1BA6"/>
    <w:rsid w:val="00EF4866"/>
    <w:rsid w:val="00EF6708"/>
    <w:rsid w:val="00EF6DD7"/>
    <w:rsid w:val="00EF754F"/>
    <w:rsid w:val="00F004E9"/>
    <w:rsid w:val="00F010EE"/>
    <w:rsid w:val="00F02332"/>
    <w:rsid w:val="00F0467A"/>
    <w:rsid w:val="00F0649C"/>
    <w:rsid w:val="00F07952"/>
    <w:rsid w:val="00F20E61"/>
    <w:rsid w:val="00F2303B"/>
    <w:rsid w:val="00F23656"/>
    <w:rsid w:val="00F238B5"/>
    <w:rsid w:val="00F257D4"/>
    <w:rsid w:val="00F25A44"/>
    <w:rsid w:val="00F26811"/>
    <w:rsid w:val="00F26C08"/>
    <w:rsid w:val="00F336CC"/>
    <w:rsid w:val="00F33EFF"/>
    <w:rsid w:val="00F34FD9"/>
    <w:rsid w:val="00F35B03"/>
    <w:rsid w:val="00F36121"/>
    <w:rsid w:val="00F36EA1"/>
    <w:rsid w:val="00F3743A"/>
    <w:rsid w:val="00F37FA5"/>
    <w:rsid w:val="00F40144"/>
    <w:rsid w:val="00F40265"/>
    <w:rsid w:val="00F42DF2"/>
    <w:rsid w:val="00F44415"/>
    <w:rsid w:val="00F44691"/>
    <w:rsid w:val="00F448CA"/>
    <w:rsid w:val="00F45123"/>
    <w:rsid w:val="00F4578F"/>
    <w:rsid w:val="00F46149"/>
    <w:rsid w:val="00F46952"/>
    <w:rsid w:val="00F50086"/>
    <w:rsid w:val="00F50497"/>
    <w:rsid w:val="00F52603"/>
    <w:rsid w:val="00F52760"/>
    <w:rsid w:val="00F52E2D"/>
    <w:rsid w:val="00F5444B"/>
    <w:rsid w:val="00F608C1"/>
    <w:rsid w:val="00F60A53"/>
    <w:rsid w:val="00F61230"/>
    <w:rsid w:val="00F62F45"/>
    <w:rsid w:val="00F6309B"/>
    <w:rsid w:val="00F64615"/>
    <w:rsid w:val="00F65669"/>
    <w:rsid w:val="00F65E67"/>
    <w:rsid w:val="00F701B3"/>
    <w:rsid w:val="00F7123B"/>
    <w:rsid w:val="00F71993"/>
    <w:rsid w:val="00F72BBB"/>
    <w:rsid w:val="00F735E8"/>
    <w:rsid w:val="00F739F2"/>
    <w:rsid w:val="00F73CCF"/>
    <w:rsid w:val="00F74FE5"/>
    <w:rsid w:val="00F750B6"/>
    <w:rsid w:val="00F76B07"/>
    <w:rsid w:val="00F80AE3"/>
    <w:rsid w:val="00F8360A"/>
    <w:rsid w:val="00F849DF"/>
    <w:rsid w:val="00F8600D"/>
    <w:rsid w:val="00F8786B"/>
    <w:rsid w:val="00F90530"/>
    <w:rsid w:val="00F91D8A"/>
    <w:rsid w:val="00F93915"/>
    <w:rsid w:val="00F94304"/>
    <w:rsid w:val="00F943F5"/>
    <w:rsid w:val="00F94501"/>
    <w:rsid w:val="00F94AF9"/>
    <w:rsid w:val="00F94F1B"/>
    <w:rsid w:val="00F957AF"/>
    <w:rsid w:val="00F96174"/>
    <w:rsid w:val="00FA08E4"/>
    <w:rsid w:val="00FA1A11"/>
    <w:rsid w:val="00FA2515"/>
    <w:rsid w:val="00FA269B"/>
    <w:rsid w:val="00FA340A"/>
    <w:rsid w:val="00FA4F9B"/>
    <w:rsid w:val="00FA5DAA"/>
    <w:rsid w:val="00FA710D"/>
    <w:rsid w:val="00FB0D18"/>
    <w:rsid w:val="00FB0D71"/>
    <w:rsid w:val="00FB1517"/>
    <w:rsid w:val="00FB390F"/>
    <w:rsid w:val="00FB4712"/>
    <w:rsid w:val="00FB4E49"/>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1226"/>
    <w:rsid w:val="00FD620B"/>
    <w:rsid w:val="00FD6B02"/>
    <w:rsid w:val="00FE0037"/>
    <w:rsid w:val="00FE0B7F"/>
    <w:rsid w:val="00FE0F32"/>
    <w:rsid w:val="00FE11DF"/>
    <w:rsid w:val="00FE2E9C"/>
    <w:rsid w:val="00FE62AA"/>
    <w:rsid w:val="00FF047B"/>
    <w:rsid w:val="00FF2F1A"/>
    <w:rsid w:val="00FF2FB9"/>
    <w:rsid w:val="00FF364F"/>
    <w:rsid w:val="00FF41A6"/>
    <w:rsid w:val="00FF74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207477"/>
  <w15:docId w15:val="{E8F470B3-A7E9-4B92-8E2E-69DAB373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5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 w:type="character" w:customStyle="1" w:styleId="Nevyeenzmnka3">
    <w:name w:val="Nevyřešená zmínka3"/>
    <w:basedOn w:val="Standardnpsmoodstavce"/>
    <w:uiPriority w:val="99"/>
    <w:semiHidden/>
    <w:unhideWhenUsed/>
    <w:rsid w:val="00AB7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26224290">
      <w:bodyDiv w:val="1"/>
      <w:marLeft w:val="0"/>
      <w:marRight w:val="0"/>
      <w:marTop w:val="0"/>
      <w:marBottom w:val="0"/>
      <w:divBdr>
        <w:top w:val="none" w:sz="0" w:space="0" w:color="auto"/>
        <w:left w:val="none" w:sz="0" w:space="0" w:color="auto"/>
        <w:bottom w:val="none" w:sz="0" w:space="0" w:color="auto"/>
        <w:right w:val="none" w:sz="0" w:space="0" w:color="auto"/>
      </w:divBdr>
    </w:div>
    <w:div w:id="32000940">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93790362">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494226105">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2273546">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840465814">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24863374">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32842599">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3252699">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651204473">
      <w:bodyDiv w:val="1"/>
      <w:marLeft w:val="0"/>
      <w:marRight w:val="0"/>
      <w:marTop w:val="0"/>
      <w:marBottom w:val="0"/>
      <w:divBdr>
        <w:top w:val="none" w:sz="0" w:space="0" w:color="auto"/>
        <w:left w:val="none" w:sz="0" w:space="0" w:color="auto"/>
        <w:bottom w:val="none" w:sz="0" w:space="0" w:color="auto"/>
        <w:right w:val="none" w:sz="0" w:space="0" w:color="auto"/>
      </w:divBdr>
    </w:div>
    <w:div w:id="1662343815">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1974673447">
      <w:bodyDiv w:val="1"/>
      <w:marLeft w:val="0"/>
      <w:marRight w:val="0"/>
      <w:marTop w:val="0"/>
      <w:marBottom w:val="0"/>
      <w:divBdr>
        <w:top w:val="none" w:sz="0" w:space="0" w:color="auto"/>
        <w:left w:val="none" w:sz="0" w:space="0" w:color="auto"/>
        <w:bottom w:val="none" w:sz="0" w:space="0" w:color="auto"/>
        <w:right w:val="none" w:sz="0" w:space="0" w:color="auto"/>
      </w:divBdr>
    </w:div>
    <w:div w:id="1990555368">
      <w:bodyDiv w:val="1"/>
      <w:marLeft w:val="0"/>
      <w:marRight w:val="0"/>
      <w:marTop w:val="0"/>
      <w:marBottom w:val="0"/>
      <w:divBdr>
        <w:top w:val="none" w:sz="0" w:space="0" w:color="auto"/>
        <w:left w:val="none" w:sz="0" w:space="0" w:color="auto"/>
        <w:bottom w:val="none" w:sz="0" w:space="0" w:color="auto"/>
        <w:right w:val="none" w:sz="0" w:space="0" w:color="auto"/>
      </w:divBdr>
    </w:div>
    <w:div w:id="1997107763">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02143145">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iska.krohova@crestcom.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customXml/itemProps2.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3978AD-64AB-4F8B-810F-EC2F5BA049BC}">
  <ds:schemaRefs>
    <ds:schemaRef ds:uri="http://schemas.openxmlformats.org/officeDocument/2006/bibliography"/>
  </ds:schemaRefs>
</ds:datastoreItem>
</file>

<file path=customXml/itemProps4.xml><?xml version="1.0" encoding="utf-8"?>
<ds:datastoreItem xmlns:ds="http://schemas.openxmlformats.org/officeDocument/2006/customXml" ds:itemID="{6FF2901F-9299-4A9A-817D-EAA7280ADC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1784</Words>
  <Characters>10526</Characters>
  <Application>Microsoft Office Word</Application>
  <DocSecurity>0</DocSecurity>
  <Lines>87</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12286</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2</cp:revision>
  <cp:lastPrinted>2015-11-30T16:29:00Z</cp:lastPrinted>
  <dcterms:created xsi:type="dcterms:W3CDTF">2024-09-10T09:25:00Z</dcterms:created>
  <dcterms:modified xsi:type="dcterms:W3CDTF">2024-09-10T09:25:00Z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